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b/>
          <w:color w:val="1F3754"/>
          <w:sz w:val="58"/>
        </w:rPr>
        <w:t>Local-First Work Intelligence System</w:t>
      </w:r>
    </w:p>
    <w:p>
      <w:pPr>
        <w:spacing w:before="240"/>
        <w:jc w:val="center"/>
      </w:pPr>
      <w:r>
        <w:rPr>
          <w:b/>
          <w:color w:val="2E5F94"/>
          <w:sz w:val="44"/>
        </w:rPr>
        <w:t>Technical Design Document</w:t>
      </w:r>
    </w:p>
    <w:p>
      <w:pPr>
        <w:spacing w:before="300"/>
        <w:jc w:val="center"/>
      </w:pPr>
      <w:r>
        <w:rPr>
          <w:color w:val="505050"/>
          <w:sz w:val="24"/>
        </w:rPr>
        <w:t>TDD  |  Version 1.0</w:t>
      </w:r>
    </w:p>
    <w:p>
      <w:pPr>
        <w:spacing w:before="100"/>
        <w:jc w:val="center"/>
      </w:pPr>
      <w:r>
        <w:rPr>
          <w:color w:val="646464"/>
          <w:sz w:val="20"/>
        </w:rPr>
        <w:t>21 September 2026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Primary owner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Software Engineering Lead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Target audience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Engineering Team, QA Automation, DevOps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Core question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How will modules, interfaces, schemas, algorithms, workers and code-level behavior be structured?</w:t>
            </w:r>
          </w:p>
        </w:tc>
      </w:tr>
      <w:tr>
        <w:tc>
          <w:tcPr>
            <w:tcW w:type="dxa" w:w="2448"/>
            <w:shd w:fill="EAF2F8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b/>
              </w:rPr>
              <w:t>Project status</w:t>
            </w:r>
          </w:p>
        </w:tc>
        <w:tc>
          <w:tcPr>
            <w:tcW w:type="dxa" w:w="6912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t>Architecture defined; implementation and benchmark execution pending</w:t>
            </w:r>
          </w:p>
        </w:tc>
      </w:tr>
    </w:tbl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Version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Date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484"/>
            <w:shd w:fill="1F3754"/>
          </w:tcPr>
          <w:p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2484"/>
          </w:tcPr>
          <w:p>
            <w:r>
              <w:t>1.0</w:t>
            </w:r>
          </w:p>
        </w:tc>
        <w:tc>
          <w:tcPr>
            <w:tcW w:type="dxa" w:w="2484"/>
          </w:tcPr>
          <w:p>
            <w:r>
              <w:t>21 September 2026</w:t>
            </w:r>
          </w:p>
        </w:tc>
        <w:tc>
          <w:tcPr>
            <w:tcW w:type="dxa" w:w="2484"/>
          </w:tcPr>
          <w:p>
            <w:r>
              <w:t>Baseline</w:t>
            </w:r>
          </w:p>
        </w:tc>
        <w:tc>
          <w:tcPr>
            <w:tcW w:type="dxa" w:w="2484"/>
          </w:tcPr>
          <w:p>
            <w:r>
              <w:t>Defines the approved project-level baseline for design and delivery.</w:t>
            </w:r>
          </w:p>
        </w:tc>
      </w:tr>
    </w:tbl>
    <w:p>
      <w:pPr>
        <w:pStyle w:val="Small"/>
      </w:pPr>
      <w:r>
        <w:t>This document is intended to evolve under version control. Requirement IDs and architectural decision IDs should remain stable once referenced by downstream documents.</w:t>
      </w:r>
    </w:p>
    <w:p>
      <w:pPr>
        <w:pStyle w:val="Heading1"/>
      </w:pPr>
      <w:r>
        <w:t>Contents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EAF2F8"/>
          </w:tcPr>
          <w:p>
            <w:r>
              <w:rPr>
                <w:b/>
              </w:rPr>
              <w:t>1. Implementation Strategy</w:t>
            </w:r>
          </w:p>
        </w:tc>
        <w:tc>
          <w:tcPr>
            <w:tcW w:type="dxa" w:w="4968"/>
          </w:tcPr>
          <w:p>
            <w:r>
              <w:t>Modular monolith + isolated workers and adapter boundaries.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2. Repository Layout</w:t>
            </w:r>
          </w:p>
        </w:tc>
        <w:tc>
          <w:tcPr>
            <w:tcW w:type="dxa" w:w="4968"/>
          </w:tcPr>
          <w:p>
            <w:r>
              <w:t>Recommended codebase organization.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3. Core Domain Models</w:t>
            </w:r>
          </w:p>
        </w:tc>
        <w:tc>
          <w:tcPr>
            <w:tcW w:type="dxa" w:w="4968"/>
          </w:tcPr>
          <w:p>
            <w:r>
              <w:t>Typed schemas and identity rules.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4. Persistence Design</w:t>
            </w:r>
          </w:p>
        </w:tc>
        <w:tc>
          <w:tcPr>
            <w:tcW w:type="dxa" w:w="4968"/>
          </w:tcPr>
          <w:p>
            <w:r>
              <w:t>SQLite schema, content layout and transactions.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5. Ingestion Pipeline</w:t>
            </w:r>
          </w:p>
        </w:tc>
        <w:tc>
          <w:tcPr>
            <w:tcW w:type="dxa" w:w="4968"/>
          </w:tcPr>
          <w:p>
            <w:r>
              <w:t>Jobs, states, parser contracts and idempotency.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6. Indexing and Retrieval</w:t>
            </w:r>
          </w:p>
        </w:tc>
        <w:tc>
          <w:tcPr>
            <w:tcW w:type="dxa" w:w="4968"/>
          </w:tcPr>
          <w:p>
            <w:r>
              <w:t>FTS, vector, fusion, rerank and cache design.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7. Agent Tooling</w:t>
            </w:r>
          </w:p>
        </w:tc>
        <w:tc>
          <w:tcPr>
            <w:tcW w:type="dxa" w:w="4968"/>
          </w:tcPr>
          <w:p>
            <w:r>
              <w:t>Tool contracts, policy checks and worker protocol.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8. Inference Gateway</w:t>
            </w:r>
          </w:p>
        </w:tc>
        <w:tc>
          <w:tcPr>
            <w:tcW w:type="dxa" w:w="4968"/>
          </w:tcPr>
          <w:p>
            <w:r>
              <w:t>Provider interfaces, timeouts and model roles.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9. Resource Controller</w:t>
            </w:r>
          </w:p>
        </w:tc>
        <w:tc>
          <w:tcPr>
            <w:tcW w:type="dxa" w:w="4968"/>
          </w:tcPr>
          <w:p>
            <w:r>
              <w:t>Scheduling, budgets and backpressure algorithms.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10. Code/Git Design</w:t>
            </w:r>
          </w:p>
        </w:tc>
        <w:tc>
          <w:tcPr>
            <w:tcW w:type="dxa" w:w="4968"/>
          </w:tcPr>
          <w:p>
            <w:r>
              <w:t>Later-phase structural/history modules.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11. Connector Design</w:t>
            </w:r>
          </w:p>
        </w:tc>
        <w:tc>
          <w:tcPr>
            <w:tcW w:type="dxa" w:w="4968"/>
          </w:tcPr>
          <w:p>
            <w:r>
              <w:t>Adapter contract and sync cursors.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12. Semantic/Temporal Layer</w:t>
            </w:r>
          </w:p>
        </w:tc>
        <w:tc>
          <w:tcPr>
            <w:tcW w:type="dxa" w:w="4968"/>
          </w:tcPr>
          <w:p>
            <w:r>
              <w:t>Derived relation contract and provenance.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13. API and IPC</w:t>
            </w:r>
          </w:p>
        </w:tc>
        <w:tc>
          <w:tcPr>
            <w:tcW w:type="dxa" w:w="4968"/>
          </w:tcPr>
          <w:p>
            <w:r>
              <w:t>UI/backend/worker interfaces.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14. Testing Strategy</w:t>
            </w:r>
          </w:p>
        </w:tc>
        <w:tc>
          <w:tcPr>
            <w:tcW w:type="dxa" w:w="4968"/>
          </w:tcPr>
          <w:p>
            <w:r>
              <w:t>Unit, integration, corpus, adversarial and performance tests.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15. Build, Packaging and Migrations</w:t>
            </w:r>
          </w:p>
        </w:tc>
        <w:tc>
          <w:tcPr>
            <w:tcW w:type="dxa" w:w="4968"/>
          </w:tcPr>
          <w:p>
            <w:r>
              <w:t>Desktop packaging, DB/index migrations and release artifacts.</w:t>
            </w:r>
          </w:p>
        </w:tc>
      </w:tr>
      <w:tr>
        <w:tc>
          <w:tcPr>
            <w:tcW w:type="dxa" w:w="4968"/>
            <w:shd w:fill="EAF2F8"/>
          </w:tcPr>
          <w:p>
            <w:r>
              <w:rPr>
                <w:b/>
              </w:rPr>
              <w:t>16. Engineering Definition of Done</w:t>
            </w:r>
          </w:p>
        </w:tc>
        <w:tc>
          <w:tcPr>
            <w:tcW w:type="dxa" w:w="4968"/>
          </w:tcPr>
          <w:p>
            <w:r>
              <w:t>Code-quality and operability gates.</w:t>
            </w:r>
          </w:p>
        </w:tc>
      </w:tr>
    </w:tbl>
    <w:p>
      <w:r>
        <w:br w:type="page"/>
      </w:r>
    </w:p>
    <w:p>
      <w:pPr>
        <w:pStyle w:val="Heading1"/>
      </w:pPr>
      <w:r>
        <w:t>1. Implementation Strategy</w:t>
      </w:r>
    </w:p>
    <w:p>
      <w:r>
        <w:t>Use a modular Python backend deployed as a local sidecar to a Tauri/React desktop shell. Keep deterministic product services in one deployable application initially, while running memory-risky or untrusted-complexity workloads (document parsing and agent execution) in separable worker processes. This avoids premature microservices while preserving process-level containment and future extraction 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E2F0D9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F3754"/>
              </w:rPr>
              <w:t xml:space="preserve">Design rule — </w:t>
            </w:r>
            <w:r>
              <w:t>Module boundaries are enforced through interfaces and domain types even when they execute in one process. Persistence ownership is centralized; no library/framework writes hidden lifecycle state that cannot be rebuilt or audited.</w:t>
            </w:r>
          </w:p>
        </w:tc>
      </w:tr>
    </w:tbl>
    <w:p>
      <w:pPr>
        <w:pStyle w:val="Heading1"/>
      </w:pPr>
      <w:r>
        <w:t>2. Repository Layout</w:t>
      </w:r>
    </w:p>
    <w:p>
      <w:pPr>
        <w:pStyle w:val="CodeBlock"/>
        <w:shd w:fill="F5F5F5"/>
      </w:pPr>
      <w:r>
        <w:t>work-intelligence/</w:t>
        <w:br/>
        <w:t xml:space="preserve">  apps/</w:t>
        <w:br/>
        <w:t xml:space="preserve">    desktop-ui/                 # Tauri + React</w:t>
        <w:br/>
        <w:t xml:space="preserve">    knowledge-engine/           # Python entrypoint/API</w:t>
        <w:br/>
        <w:t xml:space="preserve">  src/workintel/</w:t>
        <w:br/>
        <w:t xml:space="preserve">    domain/</w:t>
        <w:br/>
        <w:t xml:space="preserve">      models.py                 # Source, EvidenceVersion, EvidenceUnit, QueryContext...</w:t>
        <w:br/>
        <w:t xml:space="preserve">      enums.py</w:t>
        <w:br/>
        <w:t xml:space="preserve">      errors.py</w:t>
        <w:br/>
        <w:t xml:space="preserve">    sources/</w:t>
        <w:br/>
        <w:t xml:space="preserve">      registry.py</w:t>
        <w:br/>
        <w:t xml:space="preserve">      filesystem.py</w:t>
        <w:br/>
        <w:t xml:space="preserve">      reconciliation.py</w:t>
        <w:br/>
        <w:t xml:space="preserve">      connectors/</w:t>
        <w:br/>
        <w:t xml:space="preserve">    evidence/</w:t>
        <w:br/>
        <w:t xml:space="preserve">      manager.py</w:t>
        <w:br/>
        <w:t xml:space="preserve">      content_store.py</w:t>
        <w:br/>
        <w:t xml:space="preserve">      versioning.py</w:t>
        <w:br/>
        <w:t xml:space="preserve">      tombstones.py</w:t>
        <w:br/>
        <w:t xml:space="preserve">    parsers/</w:t>
        <w:br/>
        <w:t xml:space="preserve">      manager.py</w:t>
        <w:br/>
        <w:t xml:space="preserve">      docling_adapter.py</w:t>
        <w:br/>
        <w:t xml:space="preserve">      fallbacks/</w:t>
        <w:br/>
        <w:t xml:space="preserve">      code_tree_sitter.py       # Phase 2</w:t>
        <w:br/>
        <w:t xml:space="preserve">    indexing/</w:t>
        <w:br/>
        <w:t xml:space="preserve">      manager.py</w:t>
        <w:br/>
        <w:t xml:space="preserve">      fts.py</w:t>
        <w:br/>
        <w:t xml:space="preserve">      vector.py</w:t>
        <w:br/>
        <w:t xml:space="preserve">      code_index.py             # Phase 2</w:t>
        <w:br/>
        <w:t xml:space="preserve">      history_index.py          # Phase 2</w:t>
        <w:br/>
        <w:t xml:space="preserve">      graph_index.py            # Phase 4</w:t>
        <w:br/>
        <w:t xml:space="preserve">    retrieval/</w:t>
        <w:br/>
        <w:t xml:space="preserve">      manager.py</w:t>
        <w:br/>
        <w:t xml:space="preserve">      lexical.py</w:t>
        <w:br/>
        <w:t xml:space="preserve">      semantic.py</w:t>
        <w:br/>
        <w:t xml:space="preserve">      fusion.py</w:t>
        <w:br/>
        <w:t xml:space="preserve">      rerank.py</w:t>
        <w:br/>
        <w:t xml:space="preserve">      resolver.py</w:t>
        <w:br/>
        <w:t xml:space="preserve">    trust/</w:t>
        <w:br/>
        <w:t xml:space="preserve">      sufficiency.py</w:t>
        <w:br/>
        <w:t xml:space="preserve">      citations.py</w:t>
        <w:br/>
        <w:t xml:space="preserve">      conflicts.py</w:t>
        <w:br/>
        <w:t xml:space="preserve">    policy/</w:t>
        <w:br/>
        <w:t xml:space="preserve">      manager.py</w:t>
        <w:br/>
        <w:t xml:space="preserve">      source_policy.py</w:t>
        <w:br/>
        <w:t xml:space="preserve">      authority.py</w:t>
        <w:br/>
        <w:t xml:space="preserve">      agent_gateway.py</w:t>
        <w:br/>
        <w:t xml:space="preserve">    agent/</w:t>
        <w:br/>
        <w:t xml:space="preserve">      runtime.py</w:t>
        <w:br/>
        <w:t xml:space="preserve">      tools.py</w:t>
        <w:br/>
        <w:t xml:space="preserve">      protocol.py</w:t>
        <w:br/>
        <w:t xml:space="preserve">    inference/</w:t>
        <w:br/>
        <w:t xml:space="preserve">      gateway.py</w:t>
        <w:br/>
        <w:t xml:space="preserve">      providers/ollama.py</w:t>
        <w:br/>
        <w:t xml:space="preserve">      embedding.py</w:t>
        <w:br/>
        <w:t xml:space="preserve">      rerank.py</w:t>
        <w:br/>
        <w:t xml:space="preserve">    resources/</w:t>
        <w:br/>
        <w:t xml:space="preserve">      controller.py</w:t>
        <w:br/>
        <w:t xml:space="preserve">      scheduler.py</w:t>
        <w:br/>
        <w:t xml:space="preserve">      budgets.py</w:t>
        <w:br/>
        <w:t xml:space="preserve">    workflows/</w:t>
        <w:br/>
        <w:t xml:space="preserve">      ingestion.py</w:t>
        <w:br/>
        <w:t xml:space="preserve">      maintenance.py</w:t>
        <w:br/>
        <w:t xml:space="preserve">      jobs.py</w:t>
        <w:br/>
        <w:t xml:space="preserve">    telemetry/</w:t>
        <w:br/>
        <w:t xml:space="preserve">      tracing.py</w:t>
        <w:br/>
        <w:t xml:space="preserve">      audit.py</w:t>
        <w:br/>
        <w:t xml:space="preserve">    persistence/</w:t>
        <w:br/>
        <w:t xml:space="preserve">      db.py</w:t>
        <w:br/>
        <w:t xml:space="preserve">      models_sql.py</w:t>
        <w:br/>
        <w:t xml:space="preserve">      repositories.py</w:t>
        <w:br/>
        <w:t xml:space="preserve">      migrations/</w:t>
        <w:br/>
        <w:t xml:space="preserve">    api/</w:t>
        <w:br/>
        <w:t xml:space="preserve">      http.py</w:t>
        <w:br/>
        <w:t xml:space="preserve">      schemas.py</w:t>
        <w:br/>
        <w:t xml:space="preserve">      events.py</w:t>
        <w:br/>
        <w:t xml:space="preserve">  tests/</w:t>
        <w:br/>
        <w:t xml:space="preserve">    unit/</w:t>
        <w:br/>
        <w:t xml:space="preserve">    integration/</w:t>
        <w:br/>
        <w:t xml:space="preserve">    corpus/</w:t>
        <w:br/>
        <w:t xml:space="preserve">    adversarial/</w:t>
        <w:br/>
        <w:t xml:space="preserve">    performance/</w:t>
        <w:br/>
        <w:t xml:space="preserve">  benchmarks/</w:t>
        <w:br/>
        <w:t xml:space="preserve">  migrations/</w:t>
        <w:br/>
        <w:t xml:space="preserve">  docs/</w:t>
        <w:br/>
      </w:r>
    </w:p>
    <w:p>
      <w:pPr>
        <w:pStyle w:val="Heading1"/>
      </w:pPr>
      <w:r>
        <w:t>3. Core Domain Models</w:t>
      </w:r>
    </w:p>
    <w:p>
      <w:pPr>
        <w:pStyle w:val="CodeBlock"/>
        <w:shd w:fill="F5F5F5"/>
      </w:pPr>
      <w:r>
        <w:t>class AuthorizedSource(BaseModel):</w:t>
        <w:br/>
        <w:t xml:space="preserve">    id: SourceId</w:t>
        <w:br/>
        <w:t xml:space="preserve">    workspace_id: WorkspaceId</w:t>
        <w:br/>
        <w:t xml:space="preserve">    kind: SourceKind</w:t>
        <w:br/>
        <w:t xml:space="preserve">    locator: str                  # path or connector-native locator</w:t>
        <w:br/>
        <w:t xml:space="preserve">    state: AuthorizationState</w:t>
        <w:br/>
        <w:t xml:space="preserve">    policy: SourcePolicy</w:t>
        <w:br/>
        <w:t xml:space="preserve">    secret_ref: str | None</w:t>
        <w:br/>
        <w:t xml:space="preserve">    created_at: datetime</w:t>
        <w:br/>
        <w:t xml:space="preserve">    updated_at: datetime</w:t>
        <w:br/>
        <w:br/>
        <w:t>class EvidenceVersion(BaseModel):</w:t>
        <w:br/>
        <w:t xml:space="preserve">    id: EvidenceVersionId</w:t>
        <w:br/>
        <w:t xml:space="preserve">    source_id: SourceId</w:t>
        <w:br/>
        <w:t xml:space="preserve">    content_hash: str</w:t>
        <w:br/>
        <w:t xml:space="preserve">    observed_at: datetime</w:t>
        <w:br/>
        <w:t xml:space="preserve">    effective_at: datetime | None</w:t>
        <w:br/>
        <w:t xml:space="preserve">    state: EvidenceVersionState   # discovered|parsing|stored|indexing|ready|failed|revoked</w:t>
        <w:br/>
        <w:t xml:space="preserve">    parser_id: str | None</w:t>
        <w:br/>
        <w:t xml:space="preserve">    parser_version: str | None</w:t>
        <w:br/>
        <w:br/>
        <w:t>class EvidenceUnit(BaseModel):</w:t>
        <w:br/>
        <w:t xml:space="preserve">    id: EvidenceUnitId</w:t>
        <w:br/>
        <w:t xml:space="preserve">    evidence_version_id: EvidenceVersionId</w:t>
        <w:br/>
        <w:t xml:space="preserve">    source_id: SourceId</w:t>
        <w:br/>
        <w:t xml:space="preserve">    kind: EvidenceKind</w:t>
        <w:br/>
        <w:t xml:space="preserve">    content_ref: ContentRef</w:t>
        <w:br/>
        <w:t xml:space="preserve">    location: StructuralLocation</w:t>
        <w:br/>
        <w:t xml:space="preserve">    content_hash: str</w:t>
        <w:br/>
        <w:t xml:space="preserve">    authority: AuthorityClass</w:t>
        <w:br/>
        <w:t xml:space="preserve">    sensitivity: SensitivityClass</w:t>
        <w:br/>
        <w:t xml:space="preserve">    metadata: dict[str, JsonValue]</w:t>
        <w:br/>
        <w:br/>
        <w:t>class QueryContext(BaseModel):</w:t>
        <w:br/>
        <w:t xml:space="preserve">    query_id: QueryId</w:t>
        <w:br/>
        <w:t xml:space="preserve">    workspace_id: WorkspaceId</w:t>
        <w:br/>
        <w:t xml:space="preserve">    authorized_source_ids: frozenset[SourceId]</w:t>
        <w:br/>
        <w:t xml:space="preserve">    budgets: QueryBudget</w:t>
        <w:br/>
        <w:t xml:space="preserve">    route: QueryRoute</w:t>
        <w:br/>
      </w:r>
    </w:p>
    <w:p>
      <w:pPr>
        <w:pStyle w:val="Heading2"/>
      </w:pPr>
      <w:r>
        <w:t>3.1 Identity Rules</w:t>
      </w:r>
    </w:p>
    <w:p>
      <w:pPr>
        <w:pStyle w:val="ListBullet"/>
      </w:pPr>
      <w:r>
        <w:t>Source IDs are stable across content changes.</w:t>
      </w:r>
    </w:p>
    <w:p>
      <w:pPr>
        <w:pStyle w:val="ListBullet"/>
      </w:pPr>
      <w:r>
        <w:t>EvidenceVersion IDs are immutable and unique for each accepted content/version state.</w:t>
      </w:r>
    </w:p>
    <w:p>
      <w:pPr>
        <w:pStyle w:val="ListBullet"/>
      </w:pPr>
      <w:r>
        <w:t>EvidenceUnit IDs are deterministic where possible from evidence_version_id + structural location + normalized content fingerprint.</w:t>
      </w:r>
    </w:p>
    <w:p>
      <w:pPr>
        <w:pStyle w:val="ListBullet"/>
      </w:pPr>
      <w:r>
        <w:t>Chunk/index IDs derive from EvidenceUnit + chunking configuration/model version and are not treated as authoritative identities.</w:t>
      </w:r>
    </w:p>
    <w:p>
      <w:pPr>
        <w:pStyle w:val="ListBullet"/>
      </w:pPr>
      <w:r>
        <w:t>Connector-native IDs and Git object IDs are stored as provenance, not substituted for internal IDs unless adapter explicitly guarantees stability.</w:t>
      </w:r>
    </w:p>
    <w:p>
      <w:pPr>
        <w:pStyle w:val="Heading1"/>
      </w:pPr>
      <w:r>
        <w:t>4. Persistence Design</w:t>
      </w:r>
    </w:p>
    <w:p>
      <w:pPr>
        <w:pStyle w:val="Heading2"/>
      </w:pPr>
      <w:r>
        <w:t>4.1 SQLite Tables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592"/>
            <w:shd w:fill="1F3754"/>
          </w:tcPr>
          <w:p>
            <w:r>
              <w:rPr>
                <w:b/>
                <w:color w:val="FFFFFF"/>
                <w:sz w:val="17"/>
              </w:rPr>
              <w:t>Table</w:t>
            </w:r>
          </w:p>
        </w:tc>
        <w:tc>
          <w:tcPr>
            <w:tcW w:type="dxa" w:w="7200"/>
            <w:shd w:fill="1F3754"/>
          </w:tcPr>
          <w:p>
            <w:r>
              <w:rPr>
                <w:b/>
                <w:color w:val="FFFFFF"/>
                <w:sz w:val="17"/>
              </w:rPr>
              <w:t>Key columns / purpose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workspaces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id, name, config_json, created_at, updated_at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authorized_sources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id, workspace_id, kind, locator, state, policy_json, secret_ref, timestamps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source_items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id, authorized_source_id, native_id, logical_path, kind, current_version_id, state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evidence_versions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id, source_id, content_hash, size, observed_at, effective_at, parser_id/version, state, error_code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evidence_units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id, evidence_version_id, source_id, kind, content_ref, location_json, unit_hash, authority, sensitivity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index_states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evidence_version_id, index_kind, schema_version, model_id, state, timestamps, error_code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jobs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id, kind, object_id, state, priority, attempts, lease_until, payload_json, error_code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tombstones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source_id/version_id, scope, reason, created_at, hard_delete_state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queries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id, workspace_id, route, created_at, completed_at, outcome, metrics_json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query_evidence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query_id, evidence_unit_id, retrieval_channel, rank, score, selected_for_bundle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audit_events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id, timestamp, actor, action, object_type/id, result, safe_metadata_json</w:t>
            </w:r>
          </w:p>
        </w:tc>
      </w:tr>
      <w:tr>
        <w:tc>
          <w:tcPr>
            <w:tcW w:type="dxa" w:w="2592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model_registry</w:t>
            </w:r>
          </w:p>
        </w:tc>
        <w:tc>
          <w:tcPr>
            <w:tcW w:type="dxa" w:w="72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role, model_id, endpoint_alias, config_hash, active, created_at</w:t>
            </w:r>
          </w:p>
        </w:tc>
      </w:tr>
    </w:tbl>
    <w:p>
      <w:pPr>
        <w:pStyle w:val="Heading2"/>
      </w:pPr>
      <w:r>
        <w:t>4.2 Evidence Content Layout</w:t>
      </w:r>
    </w:p>
    <w:p>
      <w:pPr>
        <w:pStyle w:val="CodeBlock"/>
        <w:shd w:fill="F5F5F5"/>
      </w:pPr>
      <w:r>
        <w:t>&lt;evidence_root&gt;/</w:t>
        <w:br/>
        <w:t xml:space="preserve">  objects/</w:t>
        <w:br/>
        <w:t xml:space="preserve">    ab/cd/&lt;content_hash&gt;.bin.enc</w:t>
        <w:br/>
        <w:t xml:space="preserve">  structured/</w:t>
        <w:br/>
        <w:t xml:space="preserve">    &lt;evidence_version_id&gt;/document.json.enc</w:t>
        <w:br/>
        <w:t xml:space="preserve">  manifests/</w:t>
        <w:br/>
        <w:t xml:space="preserve">    &lt;evidence_version_id&gt;.json</w:t>
        <w:br/>
        <w:br/>
        <w:t>SQLite stores content_ref, not duplicate full bodies.</w:t>
        <w:br/>
        <w:t>Encryption envelope metadata references a key ID stored outside normal DB rows.</w:t>
      </w:r>
    </w:p>
    <w:p>
      <w:pPr>
        <w:pStyle w:val="Heading2"/>
      </w:pPr>
      <w:r>
        <w:t>4.3 Transaction Rules</w:t>
      </w:r>
    </w:p>
    <w:p>
      <w:pPr>
        <w:pStyle w:val="ListBullet"/>
      </w:pPr>
      <w:r>
        <w:t>Create EvidenceVersion in pending/parsing state before expensive work.</w:t>
      </w:r>
    </w:p>
    <w:p>
      <w:pPr>
        <w:pStyle w:val="ListBullet"/>
      </w:pPr>
      <w:r>
        <w:t>Write authoritative content atomically to temp path then rename/commit manifest.</w:t>
      </w:r>
    </w:p>
    <w:p>
      <w:pPr>
        <w:pStyle w:val="ListBullet"/>
      </w:pPr>
      <w:r>
        <w:t>Create EvidenceUnits in a DB transaction after content refs exist.</w:t>
      </w:r>
    </w:p>
    <w:p>
      <w:pPr>
        <w:pStyle w:val="ListBullet"/>
      </w:pPr>
      <w:r>
        <w:t>Index stages update independent index_states; EvidenceVersion becomes ready only when required indexes for that source type are valid.</w:t>
      </w:r>
    </w:p>
    <w:p>
      <w:pPr>
        <w:pStyle w:val="ListBullet"/>
      </w:pPr>
      <w:r>
        <w:t>Derived index writes must be idempotent by deterministic chunk/index ID.</w:t>
      </w:r>
    </w:p>
    <w:p>
      <w:pPr>
        <w:pStyle w:val="Heading1"/>
      </w:pPr>
      <w:r>
        <w:t>5. Ingestion Pipeline</w:t>
      </w:r>
    </w:p>
    <w:p>
      <w:pPr>
        <w:pStyle w:val="CodeBlock"/>
        <w:shd w:fill="F5F5F5"/>
      </w:pPr>
      <w:r>
        <w:t>async def ingest(source_item):</w:t>
        <w:br/>
        <w:t xml:space="preserve">    fp = await fingerprint(source_item)</w:t>
        <w:br/>
        <w:t xml:space="preserve">    if fp.matches_current_version():</w:t>
        <w:br/>
        <w:t xml:space="preserve">        return UNCHANGED</w:t>
        <w:br/>
        <w:br/>
        <w:t xml:space="preserve">    version = evidence.create_pending_version(fp)</w:t>
        <w:br/>
        <w:t xml:space="preserve">    try:</w:t>
        <w:br/>
        <w:t xml:space="preserve">        parsed = await parser_pool.parse(source_item, budget=resource_budget())</w:t>
        <w:br/>
        <w:t xml:space="preserve">        units = normalizer.to_evidence_units(version, parsed)</w:t>
        <w:br/>
        <w:t xml:space="preserve">        evidence.persist_authoritative(version, units)</w:t>
        <w:br/>
        <w:t xml:space="preserve">        await index_manager.index_required(version, units)</w:t>
        <w:br/>
        <w:t xml:space="preserve">        evidence.mark_ready(version)</w:t>
        <w:br/>
        <w:t xml:space="preserve">    except RetryableError as e:</w:t>
        <w:br/>
        <w:t xml:space="preserve">        jobs.retry(version.id, classify(e))</w:t>
        <w:br/>
        <w:t xml:space="preserve">    except FatalParseError as e:</w:t>
        <w:br/>
        <w:t xml:space="preserve">        evidence.mark_failed(version, classify(e))</w:t>
        <w:br/>
      </w:r>
    </w:p>
    <w:p>
      <w:pPr>
        <w:pStyle w:val="Heading2"/>
      </w:pPr>
      <w:r>
        <w:t>5.1 Job State Machine</w:t>
      </w:r>
    </w:p>
    <w:p>
      <w:pPr>
        <w:pStyle w:val="CodeBlock"/>
        <w:shd w:fill="F5F5F5"/>
      </w:pPr>
      <w:r>
        <w:t>QUEUED -&gt; LEASED -&gt; RUNNING -&gt; SUCCEEDED</w:t>
        <w:br/>
        <w:t xml:space="preserve">   |         |          |</w:t>
        <w:br/>
        <w:t xml:space="preserve">   |         |          +-&gt; RETRY_WAIT -&gt; QUEUED</w:t>
        <w:br/>
        <w:t xml:space="preserve">   |         +------------&gt; FAILED</w:t>
        <w:br/>
        <w:t xml:space="preserve">   +----------------------&gt; CANCELLED</w:t>
        <w:br/>
        <w:br/>
        <w:t>EvidenceVersion state is independent from job state.</w:t>
      </w:r>
    </w:p>
    <w:p>
      <w:pPr>
        <w:pStyle w:val="Heading2"/>
      </w:pPr>
      <w:r>
        <w:t>5.2 Parser Adapter</w:t>
      </w:r>
    </w:p>
    <w:p>
      <w:pPr>
        <w:pStyle w:val="CodeBlock"/>
        <w:shd w:fill="F5F5F5"/>
      </w:pPr>
      <w:r>
        <w:t>class ParserAdapter(Protocol):</w:t>
        <w:br/>
        <w:t xml:space="preserve">    parser_id: str</w:t>
        <w:br/>
        <w:t xml:space="preserve">    supported_kinds: set[SourceKind]</w:t>
        <w:br/>
        <w:br/>
        <w:t xml:space="preserve">    def probe(self, source: ReadOnlySource) -&gt; ParseProbe: ...</w:t>
        <w:br/>
        <w:t xml:space="preserve">    async def parse(self, source: ReadOnlySource, *, budget: ParseBudget) -&gt; ParsedArtifact: ...</w:t>
        <w:br/>
        <w:br/>
        <w:t># DoclingAdapter is primary for documents.</w:t>
        <w:br/>
        <w:t># Fallback adapters are selected only by ParserManager policy.</w:t>
      </w:r>
    </w:p>
    <w:p>
      <w:pPr>
        <w:pStyle w:val="Heading1"/>
      </w:pPr>
      <w:r>
        <w:t>6. Indexing and Retrieval</w:t>
      </w:r>
    </w:p>
    <w:p>
      <w:pPr>
        <w:pStyle w:val="Heading2"/>
      </w:pPr>
      <w:r>
        <w:t>6.1 Chunking Contract</w:t>
      </w:r>
    </w:p>
    <w:p>
      <w:pPr>
        <w:pStyle w:val="ListBullet"/>
      </w:pPr>
      <w:r>
        <w:t>Chunking consumes EvidenceUnits, never raw source paths directly.</w:t>
      </w:r>
    </w:p>
    <w:p>
      <w:pPr>
        <w:pStyle w:val="ListBullet"/>
      </w:pPr>
      <w:r>
        <w:t>Chunks preserve evidence_unit_id, source_id, evidence_version_id and structural location.</w:t>
      </w:r>
    </w:p>
    <w:p>
      <w:pPr>
        <w:pStyle w:val="ListBullet"/>
      </w:pPr>
      <w:r>
        <w:t>Chunk hash includes normalized text and chunking configuration version.</w:t>
      </w:r>
    </w:p>
    <w:p>
      <w:pPr>
        <w:pStyle w:val="ListBullet"/>
      </w:pPr>
      <w:r>
        <w:t>Table/slide/sheet/section boundaries are preserved where possible; token-only sliding windows are fallback behavior.</w:t>
      </w:r>
    </w:p>
    <w:p>
      <w:pPr>
        <w:pStyle w:val="ListBullet"/>
      </w:pPr>
      <w:r>
        <w:t>Embedding cache key = chunk_hash + embedding_model_id + embedding_config_hash.</w:t>
      </w:r>
    </w:p>
    <w:p>
      <w:pPr>
        <w:pStyle w:val="Heading2"/>
      </w:pPr>
      <w:r>
        <w:t>6.2 Vector Adapter</w:t>
      </w:r>
    </w:p>
    <w:p>
      <w:pPr>
        <w:pStyle w:val="CodeBlock"/>
        <w:shd w:fill="F5F5F5"/>
      </w:pPr>
      <w:r>
        <w:t>class VectorIndex(Protocol):</w:t>
        <w:br/>
        <w:t xml:space="preserve">    async def upsert(self, records: Sequence[VectorRecord]) -&gt; None: ...</w:t>
        <w:br/>
        <w:t xml:space="preserve">    async def search(self, vector, filters: RetrievalFilters, top_k: int) -&gt; list[VectorHit]: ...</w:t>
        <w:br/>
        <w:t xml:space="preserve">    async def delete_by_version(self, evidence_version_id: str) -&gt; None: ...</w:t>
        <w:br/>
        <w:t xml:space="preserve">    async def health(self) -&gt; IndexHealth: ...</w:t>
        <w:br/>
        <w:br/>
        <w:t># LanceDBAdapter and QdrantEdgeAdapter implement this contract.</w:t>
        <w:br/>
      </w:r>
    </w:p>
    <w:p>
      <w:pPr>
        <w:pStyle w:val="Heading2"/>
      </w:pPr>
      <w:r>
        <w:t>6.3 Retrieval Algorithm</w:t>
      </w:r>
    </w:p>
    <w:p>
      <w:pPr>
        <w:pStyle w:val="CodeBlock"/>
        <w:shd w:fill="F5F5F5"/>
      </w:pPr>
      <w:r>
        <w:t>async def retrieve(query, ctx):</w:t>
        <w:br/>
        <w:t xml:space="preserve">    filters = policy.retrieval_filters(ctx)</w:t>
        <w:br/>
        <w:t xml:space="preserve">    lexical_hits, vector_hits = await gather(</w:t>
        <w:br/>
        <w:t xml:space="preserve">        fts.search(query.text, filters, top_k=ctx.budgets.lexical_k),</w:t>
        <w:br/>
        <w:t xml:space="preserve">        vector.search(await embed(query.text), filters, top_k=ctx.budgets.vector_k),</w:t>
        <w:br/>
        <w:t xml:space="preserve">    )</w:t>
        <w:br/>
        <w:t xml:space="preserve">    fused = rrf(lexical_hits, vector_hits)</w:t>
        <w:br/>
        <w:t xml:space="preserve">    candidates = fused[:ctx.budgets.fusion_k]</w:t>
        <w:br/>
        <w:t xml:space="preserve">    if should_rerank(query, candidates, ctx):</w:t>
        <w:br/>
        <w:t xml:space="preserve">        candidates = await reranker.rank(query.text, candidates[:ctx.budgets.rerank_k])</w:t>
        <w:br/>
        <w:t xml:space="preserve">    ids = [h.evidence_unit_id for h in candidates[:ctx.budgets.evidence_k]]</w:t>
        <w:br/>
        <w:t xml:space="preserve">    return evidence_resolver.resolve(ids, ctx)</w:t>
        <w:br/>
      </w:r>
    </w:p>
    <w:p>
      <w:pPr>
        <w:pStyle w:val="Heading2"/>
      </w:pPr>
      <w:r>
        <w:t>6.4 Suggested Initial Budgets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304"/>
            <w:shd w:fill="1F3754"/>
          </w:tcPr>
          <w:p>
            <w:r>
              <w:rPr>
                <w:b/>
                <w:color w:val="FFFFFF"/>
                <w:sz w:val="17"/>
              </w:rPr>
              <w:t>Budget</w:t>
            </w:r>
          </w:p>
        </w:tc>
        <w:tc>
          <w:tcPr>
            <w:tcW w:type="dxa" w:w="2880"/>
            <w:shd w:fill="1F3754"/>
          </w:tcPr>
          <w:p>
            <w:r>
              <w:rPr>
                <w:b/>
                <w:color w:val="FFFFFF"/>
                <w:sz w:val="17"/>
              </w:rPr>
              <w:t>Initial engineering default</w:t>
            </w:r>
          </w:p>
        </w:tc>
        <w:tc>
          <w:tcPr>
            <w:tcW w:type="dxa" w:w="4608"/>
            <w:shd w:fill="1F3754"/>
          </w:tcPr>
          <w:p>
            <w:r>
              <w:rPr>
                <w:b/>
                <w:color w:val="FFFFFF"/>
                <w:sz w:val="17"/>
              </w:rPr>
              <w:t>Rationale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lexical_k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25-30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Enough lexical diversity without loading bodies.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vector_k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25-30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Parallel semantic candidate set.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fusion_k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~15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Small set for metadata inspection/rerank.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rerank_k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10-15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Keep cross-encoder/model latency bounded.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evidence_k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5-8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Final authoritative body reads.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agent_iterations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Prevents open-ended investigation in initial release.</w:t>
            </w:r>
          </w:p>
        </w:tc>
      </w:tr>
      <w:tr>
        <w:tc>
          <w:tcPr>
            <w:tcW w:type="dxa" w:w="230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agent_tool_calls</w:t>
            </w:r>
          </w:p>
        </w:tc>
        <w:tc>
          <w:tcPr>
            <w:tcW w:type="dxa" w:w="288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460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Allows follow-up search/read while staying bounded.</w:t>
            </w:r>
          </w:p>
        </w:tc>
      </w:tr>
    </w:tbl>
    <w:p>
      <w:pPr>
        <w:pStyle w:val="Heading1"/>
      </w:pPr>
      <w:r>
        <w:t>7. Agent Tooling</w:t>
      </w:r>
    </w:p>
    <w:p>
      <w:pPr>
        <w:pStyle w:val="Heading2"/>
      </w:pPr>
      <w:r>
        <w:t>7.1 Tool Surface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5"/>
              </w:rPr>
              <w:t>Tool</w:t>
            </w:r>
          </w:p>
        </w:tc>
        <w:tc>
          <w:tcPr>
            <w:tcW w:type="dxa" w:w="3600"/>
            <w:shd w:fill="1F3754"/>
          </w:tcPr>
          <w:p>
            <w:r>
              <w:rPr>
                <w:b/>
                <w:color w:val="FFFFFF"/>
                <w:sz w:val="15"/>
              </w:rPr>
              <w:t>Input</w:t>
            </w:r>
          </w:p>
        </w:tc>
        <w:tc>
          <w:tcPr>
            <w:tcW w:type="dxa" w:w="4320"/>
            <w:shd w:fill="1F3754"/>
          </w:tcPr>
          <w:p>
            <w:r>
              <w:rPr>
                <w:b/>
                <w:color w:val="FFFFFF"/>
                <w:sz w:val="15"/>
              </w:rPr>
              <w:t>Output / constraints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search_knowledge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query, optional source/type/time filters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EvidenceHit[] with IDs/light metadata; gateway applies auth/policy/budget.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read_evidence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evidence_unit_id, optional bounded range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Exact authorized content + provenance; no arbitrary file path.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list_sources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optional type/status filter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Authorized source summaries only.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inspect_source_metadata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source_id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Safe metadata, authority, freshness, version state.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compare_versions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source_id/version IDs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Structured diff of authorized versions; added in history-capable phase.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find_symbol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symbol/query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Code structural hits; Phase 2.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find_references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symbol/evidence ID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Deterministic code references; Phase 2.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search_history</w:t>
            </w:r>
          </w:p>
        </w:tc>
        <w:tc>
          <w:tcPr>
            <w:tcW w:type="dxa" w:w="360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query/time/repo/source filters</w:t>
            </w:r>
          </w:p>
        </w:tc>
        <w:tc>
          <w:tcPr>
            <w:tcW w:type="dxa" w:w="4320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5"/>
              </w:rPr>
              <w:t>Git/document historical hits; Phase 2+</w:t>
            </w:r>
          </w:p>
        </w:tc>
      </w:tr>
    </w:tbl>
    <w:p>
      <w:pPr>
        <w:pStyle w:val="Heading2"/>
      </w:pPr>
      <w:r>
        <w:t>7.2 Policy Gateway</w:t>
      </w:r>
    </w:p>
    <w:p>
      <w:pPr>
        <w:pStyle w:val="CodeBlock"/>
        <w:shd w:fill="F5F5F5"/>
      </w:pPr>
      <w:r>
        <w:t>def authorize_tool_call(call: ToolCall, ctx: QueryContext) -&gt; ApprovedCall:</w:t>
        <w:br/>
        <w:t xml:space="preserve">    spec = TOOL_ALLOWLIST.get(call.name)</w:t>
        <w:br/>
        <w:t xml:space="preserve">    if spec is None:</w:t>
        <w:br/>
        <w:t xml:space="preserve">        raise ToolDenied('unknown_tool')</w:t>
        <w:br/>
        <w:t xml:space="preserve">    if not ctx.budgets.consume_tool_call(call.name):</w:t>
        <w:br/>
        <w:t xml:space="preserve">        raise ToolDenied('budget_exhausted')</w:t>
        <w:br/>
        <w:t xml:space="preserve">    args = spec.schema.validate(call.arguments)</w:t>
        <w:br/>
        <w:t xml:space="preserve">    policy.assert_workspace_scope(args, ctx.workspace_id)</w:t>
        <w:br/>
        <w:t xml:space="preserve">    policy.assert_read_only(spec)</w:t>
        <w:br/>
        <w:t xml:space="preserve">    policy.assert_sensitivity(args, ctx)</w:t>
        <w:br/>
        <w:t xml:space="preserve">    return ApprovedCall(spec=spec, args=args)</w:t>
        <w:br/>
      </w:r>
    </w:p>
    <w:p>
      <w:pPr>
        <w:pStyle w:val="Heading2"/>
      </w:pPr>
      <w:r>
        <w:t>7.3 Agent Worker Protocol</w:t>
      </w:r>
    </w:p>
    <w:p>
      <w:pPr>
        <w:pStyle w:val="ListBullet"/>
      </w:pPr>
      <w:r>
        <w:t>Worker receives query text, immutable QueryContext, initial EvidenceBundle summary and a capability descriptor.</w:t>
      </w:r>
    </w:p>
    <w:p>
      <w:pPr>
        <w:pStyle w:val="ListBullet"/>
      </w:pPr>
      <w:r>
        <w:t>Worker communicates via local IPC (JSON-RPC/message queue/stdio protocol selected during spike).</w:t>
      </w:r>
    </w:p>
    <w:p>
      <w:pPr>
        <w:pStyle w:val="ListBullet"/>
      </w:pPr>
      <w:r>
        <w:t>Parent process owns tool execution; worker sends requests but never receives direct database handles or secrets.</w:t>
      </w:r>
    </w:p>
    <w:p>
      <w:pPr>
        <w:pStyle w:val="ListBullet"/>
      </w:pPr>
      <w:r>
        <w:t>Parent can cancel/terminate worker on timeout, memory threshold, user cancel or policy breach.</w:t>
      </w:r>
    </w:p>
    <w:p>
      <w:pPr>
        <w:pStyle w:val="Heading1"/>
      </w:pPr>
      <w:r>
        <w:t>8. Inference Gateway</w:t>
      </w:r>
    </w:p>
    <w:p>
      <w:pPr>
        <w:pStyle w:val="CodeBlock"/>
        <w:shd w:fill="F5F5F5"/>
      </w:pPr>
      <w:r>
        <w:t>class InferenceProvider(Protocol):</w:t>
        <w:br/>
        <w:t xml:space="preserve">    async def embed(self, texts: list[str], *, model: ModelAlias) -&gt; EmbeddingBatch: ...</w:t>
        <w:br/>
        <w:t xml:space="preserve">    async def rerank(self, query: str, docs: list[str], *, model: ModelAlias) -&gt; list[float]: ...</w:t>
        <w:br/>
        <w:t xml:space="preserve">    async def generate(self, request: GenerateRequest, *, model: ModelAlias) -&gt; GenerateResponse: ...</w:t>
        <w:br/>
        <w:t xml:space="preserve">    async def health(self) -&gt; ProviderHealth: ...</w:t>
        <w:br/>
        <w:br/>
        <w:t>class InferenceGateway:</w:t>
        <w:br/>
        <w:t xml:space="preserve">    # resolves aliases, applies token/time limits, retries safe calls,</w:t>
        <w:br/>
        <w:t xml:space="preserve">    # records latency, and hides endpoint/auth from agent code.</w:t>
        <w:br/>
      </w:r>
    </w:p>
    <w:p>
      <w:pPr>
        <w:pStyle w:val="Heading2"/>
      </w:pPr>
      <w:r>
        <w:t>8.1 Timeouts/Retry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160"/>
            <w:shd w:fill="1F3754"/>
          </w:tcPr>
          <w:p>
            <w:r>
              <w:rPr>
                <w:b/>
                <w:color w:val="FFFFFF"/>
                <w:sz w:val="17"/>
              </w:rPr>
              <w:t>Call</w:t>
            </w:r>
          </w:p>
        </w:tc>
        <w:tc>
          <w:tcPr>
            <w:tcW w:type="dxa" w:w="7632"/>
            <w:shd w:fill="1F3754"/>
          </w:tcPr>
          <w:p>
            <w:r>
              <w:rPr>
                <w:b/>
                <w:color w:val="FFFFFF"/>
                <w:sz w:val="17"/>
              </w:rPr>
              <w:t>Retry guidance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Embedding</w:t>
            </w:r>
          </w:p>
        </w:tc>
        <w:tc>
          <w:tcPr>
            <w:tcW w:type="dxa" w:w="76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Retry idempotently with capped exponential backoff; cache completed batches.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Rerank</w:t>
            </w:r>
          </w:p>
        </w:tc>
        <w:tc>
          <w:tcPr>
            <w:tcW w:type="dxa" w:w="76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Retry once/twice within query deadline; otherwise skip rerank if policy permits.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Generate</w:t>
            </w:r>
          </w:p>
        </w:tc>
        <w:tc>
          <w:tcPr>
            <w:tcW w:type="dxa" w:w="76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Avoid blind duplicate long generations; retry only on clearly pre-generation/transport failures or user action.</w:t>
            </w:r>
          </w:p>
        </w:tc>
      </w:tr>
      <w:tr>
        <w:tc>
          <w:tcPr>
            <w:tcW w:type="dxa" w:w="2160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Health</w:t>
            </w:r>
          </w:p>
        </w:tc>
        <w:tc>
          <w:tcPr>
            <w:tcW w:type="dxa" w:w="7632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Short timeout; cached health status acceptable for brief intervals.</w:t>
            </w:r>
          </w:p>
        </w:tc>
      </w:tr>
    </w:tbl>
    <w:p>
      <w:pPr>
        <w:pStyle w:val="Heading1"/>
      </w:pPr>
      <w:r>
        <w:t>9. Resource Controller</w:t>
      </w:r>
    </w:p>
    <w:p>
      <w:pPr>
        <w:pStyle w:val="CodeBlock"/>
        <w:shd w:fill="F5F5F5"/>
      </w:pPr>
      <w:r>
        <w:t>class ResourceController:</w:t>
        <w:br/>
        <w:t xml:space="preserve">    def snapshot(self) -&gt; ResourceSnapshot: ...</w:t>
        <w:br/>
        <w:t xml:space="preserve">    def admission(self, job: WorkItem) -&gt; AdmissionDecision: ...</w:t>
        <w:br/>
        <w:t xml:space="preserve">    def query_started(self, query_id): pause_or_throttle_background()</w:t>
        <w:br/>
        <w:t xml:space="preserve">    def query_finished(self, query_id): resume_eligible_background()</w:t>
        <w:br/>
        <w:t xml:space="preserve">    def adjust_batch(self, kind, requested): return bounded_size</w:t>
        <w:br/>
      </w:r>
    </w:p>
    <w:p>
      <w:pPr>
        <w:pStyle w:val="Heading2"/>
      </w:pPr>
      <w:r>
        <w:t>9.1 Scheduling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728"/>
            <w:shd w:fill="1F3754"/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8064"/>
            <w:shd w:fill="1F3754"/>
          </w:tcPr>
          <w:p>
            <w:r>
              <w:rPr>
                <w:b/>
                <w:color w:val="FFFFFF"/>
                <w:sz w:val="17"/>
              </w:rPr>
              <w:t>Work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0 Highest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User cancellation / security revocation / shutdown safety.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Interactive retrieval/evidence resolution.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Interactive rerank/agent/inference orchestration.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Small incremental indexing needed to satisfy freshness.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Background parsing/OCR/embedding.</w:t>
            </w:r>
          </w:p>
        </w:tc>
      </w:tr>
      <w:tr>
        <w:tc>
          <w:tcPr>
            <w:tcW w:type="dxa" w:w="172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5 Lowest</w:t>
            </w:r>
          </w:p>
        </w:tc>
        <w:tc>
          <w:tcPr>
            <w:tcW w:type="dxa" w:w="806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Reconciliation sweeps, cleanup, compaction, full rebuilds.</w:t>
            </w:r>
          </w:p>
        </w:tc>
      </w:tr>
    </w:tbl>
    <w:p>
      <w:pPr>
        <w:pStyle w:val="Heading2"/>
      </w:pPr>
      <w:r>
        <w:t>9.2 Worker Limits</w:t>
      </w:r>
    </w:p>
    <w:p>
      <w:pPr>
        <w:pStyle w:val="ListBullet"/>
      </w:pPr>
      <w:r>
        <w:t>Default parser worker count should be 1-2 on desktop and configurable by hardware profile.</w:t>
      </w:r>
    </w:p>
    <w:p>
      <w:pPr>
        <w:pStyle w:val="ListBullet"/>
      </w:pPr>
      <w:r>
        <w:t>Embedding batches are bounded by token/byte count, not only number of chunks.</w:t>
      </w:r>
    </w:p>
    <w:p>
      <w:pPr>
        <w:pStyle w:val="ListBullet"/>
      </w:pPr>
      <w:r>
        <w:t>Agent worker count defaults to one interactive query per workspace/session until benchmark proves safe concurrency.</w:t>
      </w:r>
    </w:p>
    <w:p>
      <w:pPr>
        <w:pStyle w:val="ListBullet"/>
      </w:pPr>
      <w:r>
        <w:t>Heavy worker processes may be recycled after N documents or RSS threshold to release allocator/model/parser retained memory.</w:t>
      </w:r>
    </w:p>
    <w:p>
      <w:pPr>
        <w:pStyle w:val="Heading1"/>
      </w:pPr>
      <w:r>
        <w:t>10. Code/Git Design</w:t>
      </w:r>
    </w:p>
    <w:p>
      <w:pPr>
        <w:pStyle w:val="CodeBlock"/>
        <w:shd w:fill="F5F5F5"/>
      </w:pPr>
      <w:r>
        <w:t>TreeSitterAdapter -&gt; ParsedCodeFile</w:t>
        <w:br/>
        <w:t xml:space="preserve">  symbols[]</w:t>
        <w:br/>
        <w:t xml:space="preserve">  definitions[]</w:t>
        <w:br/>
        <w:t xml:space="preserve">  references[]</w:t>
        <w:br/>
        <w:t xml:space="preserve">  imports[]</w:t>
        <w:br/>
        <w:t xml:space="preserve">  scopes[]</w:t>
        <w:br/>
        <w:br/>
        <w:t>GitAdapter (read-only)</w:t>
        <w:br/>
        <w:t xml:space="preserve">  list_commits(range)</w:t>
        <w:br/>
        <w:t xml:space="preserve">  get_tree(revision)</w:t>
        <w:br/>
        <w:t xml:space="preserve">  get_blob(revision, path)</w:t>
        <w:br/>
        <w:t xml:space="preserve">  diff(a, b, path?)</w:t>
        <w:br/>
        <w:t xml:space="preserve">  blame(revision, path, range?)</w:t>
        <w:br/>
        <w:br/>
        <w:t>StructuralIndex links symbol/reference facts to EvidenceVersion + Git revision.</w:t>
      </w:r>
    </w:p>
    <w:p>
      <w:r>
        <w:t>Impact analysis is deliberately split into deterministic relationships (direct reference/import/dependency) and inferred impact (agent synthesis from evidence). The UI and Trust Manager must preserve this distinction.</w:t>
      </w:r>
    </w:p>
    <w:p>
      <w:pPr>
        <w:pStyle w:val="Heading1"/>
      </w:pPr>
      <w:r>
        <w:t>11. Connector Design</w:t>
      </w:r>
    </w:p>
    <w:p>
      <w:pPr>
        <w:pStyle w:val="CodeBlock"/>
        <w:shd w:fill="F5F5F5"/>
      </w:pPr>
      <w:r>
        <w:t>class ConnectorAdapter(Protocol):</w:t>
        <w:br/>
        <w:t xml:space="preserve">    connector_id: str</w:t>
        <w:br/>
        <w:t xml:space="preserve">    async def validate_credentials(self, secret_ref) -&gt; ConnectorHealth: ...</w:t>
        <w:br/>
        <w:t xml:space="preserve">    async def enumerate(self, cursor: str | None, scope) -&gt; ConnectorPage: ...</w:t>
        <w:br/>
        <w:t xml:space="preserve">    async def fetch_item(self, native_id: str) -&gt; ConnectorItem: ...</w:t>
        <w:br/>
        <w:t xml:space="preserve">    async def fetch_content(self, native_id: str, version_hint=None) -&gt; ReadOnlyBytesOrText: ...</w:t>
        <w:br/>
        <w:t xml:space="preserve">    def map_deletion(self, event) -&gt; DeletionSemantics: ...</w:t>
        <w:br/>
      </w:r>
    </w:p>
    <w:p>
      <w:pPr>
        <w:pStyle w:val="ListBullet"/>
      </w:pPr>
      <w:r>
        <w:t>Sync cursor and last successful checkpoint are stored in control DB.</w:t>
      </w:r>
    </w:p>
    <w:p>
      <w:pPr>
        <w:pStyle w:val="ListBullet"/>
      </w:pPr>
      <w:r>
        <w:t>Connector content is fingerprinted/versioned like local sources.</w:t>
      </w:r>
    </w:p>
    <w:p>
      <w:pPr>
        <w:pStyle w:val="ListBullet"/>
      </w:pPr>
      <w:r>
        <w:t>OAuth/access tokens are retrieved only through secret backend using secret_ref.</w:t>
      </w:r>
    </w:p>
    <w:p>
      <w:pPr>
        <w:pStyle w:val="ListBullet"/>
      </w:pPr>
      <w:r>
        <w:t>Connector failures must not invalidate already-ingested authoritative evidence unless revocation/deletion policy requires it.</w:t>
      </w:r>
    </w:p>
    <w:p>
      <w:pPr>
        <w:pStyle w:val="Heading1"/>
      </w:pPr>
      <w:r>
        <w:t>12. Semantic/Temporal Layer</w:t>
      </w:r>
    </w:p>
    <w:p>
      <w:pPr>
        <w:pStyle w:val="CodeBlock"/>
        <w:shd w:fill="F5F5F5"/>
      </w:pPr>
      <w:r>
        <w:t>DerivedRelation {</w:t>
        <w:br/>
        <w:t xml:space="preserve">  relation_id</w:t>
        <w:br/>
        <w:t xml:space="preserve">  subject_entity</w:t>
        <w:br/>
        <w:t xml:space="preserve">  predicate</w:t>
        <w:br/>
        <w:t xml:space="preserve">  object_entity</w:t>
        <w:br/>
        <w:t xml:space="preserve">  relation_kind: deterministic | inferred</w:t>
        <w:br/>
        <w:t xml:space="preserve">  confidence: float | null</w:t>
        <w:br/>
        <w:t xml:space="preserve">  valid_from / valid_to</w:t>
        <w:br/>
        <w:t xml:space="preserve">  supporting_evidence_unit_ids[]</w:t>
        <w:br/>
        <w:t xml:space="preserve">  extractor/model/config version</w:t>
        <w:br/>
        <w:t>}</w:t>
        <w:br/>
      </w:r>
    </w:p>
    <w:p>
      <w:r>
        <w:t>Relations are query accelerators/context aids. A relation is suppressed/retracted from current reasoning when its supporting evidence becomes unauthorized or tombstoned. Inferred relations cannot be cited as though they were source text.</w:t>
      </w:r>
    </w:p>
    <w:p>
      <w:pPr>
        <w:pStyle w:val="Heading1"/>
      </w:pPr>
      <w:r>
        <w:t>13. API and IPC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24"/>
            <w:shd w:fill="1F3754"/>
          </w:tcPr>
          <w:p>
            <w:r>
              <w:rPr>
                <w:b/>
                <w:color w:val="FFFFFF"/>
                <w:sz w:val="17"/>
              </w:rPr>
              <w:t>Endpoint/Message</w:t>
            </w:r>
          </w:p>
        </w:tc>
        <w:tc>
          <w:tcPr>
            <w:tcW w:type="dxa" w:w="6768"/>
            <w:shd w:fill="1F3754"/>
          </w:tcPr>
          <w:p>
            <w:r>
              <w:rPr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02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POST /v1/queries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Create query and return query_id; supports streaming status/result channel.</w:t>
            </w:r>
          </w:p>
        </w:tc>
      </w:tr>
      <w:tr>
        <w:tc>
          <w:tcPr>
            <w:tcW w:type="dxa" w:w="302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POST /v1/queries/{id}/cancel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Cancel interactive work and terminate agent worker if required.</w:t>
            </w:r>
          </w:p>
        </w:tc>
      </w:tr>
      <w:tr>
        <w:tc>
          <w:tcPr>
            <w:tcW w:type="dxa" w:w="302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GET /v1/queries/{id}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Result, evidence citations, trust state and timing breakdown.</w:t>
            </w:r>
          </w:p>
        </w:tc>
      </w:tr>
      <w:tr>
        <w:tc>
          <w:tcPr>
            <w:tcW w:type="dxa" w:w="302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POST /v1/sources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Authorize/configure source.</w:t>
            </w:r>
          </w:p>
        </w:tc>
      </w:tr>
      <w:tr>
        <w:tc>
          <w:tcPr>
            <w:tcW w:type="dxa" w:w="302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DELETE /v1/sources/{id}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Revoke/tombstone authorized source; hard-delete is separate explicit operation.</w:t>
            </w:r>
          </w:p>
        </w:tc>
      </w:tr>
      <w:tr>
        <w:tc>
          <w:tcPr>
            <w:tcW w:type="dxa" w:w="302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GET /v1/sources/{id}/status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Ingestion/index state, errors and freshness.</w:t>
            </w:r>
          </w:p>
        </w:tc>
      </w:tr>
      <w:tr>
        <w:tc>
          <w:tcPr>
            <w:tcW w:type="dxa" w:w="302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GET /v1/evidence/{id}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Authorized evidence metadata and bounded content read for citation viewer.</w:t>
            </w:r>
          </w:p>
        </w:tc>
      </w:tr>
      <w:tr>
        <w:tc>
          <w:tcPr>
            <w:tcW w:type="dxa" w:w="302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worker.tool_request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→ parent request with query_id, tool_name, typed args.</w:t>
            </w:r>
          </w:p>
        </w:tc>
      </w:tr>
      <w:tr>
        <w:tc>
          <w:tcPr>
            <w:tcW w:type="dxa" w:w="302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worker.tool_result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Parent → agent bounded result or structured denial/error.</w:t>
            </w:r>
          </w:p>
        </w:tc>
      </w:tr>
      <w:tr>
        <w:tc>
          <w:tcPr>
            <w:tcW w:type="dxa" w:w="3024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worker.cancel</w:t>
            </w:r>
          </w:p>
        </w:tc>
        <w:tc>
          <w:tcPr>
            <w:tcW w:type="dxa" w:w="6768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Parent terminates/cancels query processing.</w:t>
            </w:r>
          </w:p>
        </w:tc>
      </w:tr>
    </w:tbl>
    <w:p>
      <w:pPr>
        <w:pStyle w:val="Heading1"/>
      </w:pPr>
      <w:r>
        <w:t>14. Testing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448"/>
            <w:shd w:fill="1F3754"/>
          </w:tcPr>
          <w:p>
            <w:r>
              <w:rPr>
                <w:b/>
                <w:color w:val="FFFFFF"/>
                <w:sz w:val="17"/>
              </w:rPr>
              <w:t>Layer</w:t>
            </w:r>
          </w:p>
        </w:tc>
        <w:tc>
          <w:tcPr>
            <w:tcW w:type="dxa" w:w="7344"/>
            <w:shd w:fill="1F3754"/>
          </w:tcPr>
          <w:p>
            <w:r>
              <w:rPr>
                <w:b/>
                <w:color w:val="FFFFFF"/>
                <w:sz w:val="17"/>
              </w:rPr>
              <w:t>Tests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Domain/unit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IDs, hashes, version transitions, RRF, filters, budget math, policy denials, citation validation.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Persistence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Transactions, migrations, tombstones, crash rollback, content-ref integrity.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Parser corpus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Real/malformed PDFs/DOCX/PPTX/XLSX, scanned documents, large files, tables and headings.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Retrieval benchmark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Known question → expected evidence sets; Recall@K/MRR plus latency/RSS.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Agent adversarial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Prompt injection documents, unknown tool requests, loop exhaustion, citation hallucination, revoked source mid-query.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Resource stress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Concurrent ingestion + query, huge documents, low-memory simulation, model outage.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Code/Git fixtures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Known symbols/references/renames/commits/diffs and historical states.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Connector conformance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Pagination, replay, deletion, permission loss, token expiration, partial outage.</w:t>
            </w:r>
          </w:p>
        </w:tc>
      </w:tr>
      <w:tr>
        <w:tc>
          <w:tcPr>
            <w:tcW w:type="dxa" w:w="2448"/>
            <w:vAlign w:val="top"/>
            <w:shd w:fill="EAF2F8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Packaging smoke</w:t>
            </w:r>
          </w:p>
        </w:tc>
        <w:tc>
          <w:tcPr>
            <w:tcW w:type="dxa" w:w="7344"/>
            <w:vAlign w:val="top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sz w:val="17"/>
              </w:rPr>
              <w:t>Clean machine install/upgrade/uninstall; native library loading; no developer environment dependency.</w:t>
            </w:r>
          </w:p>
        </w:tc>
      </w:tr>
    </w:tbl>
    <w:p>
      <w:pPr>
        <w:pStyle w:val="Heading1"/>
      </w:pPr>
      <w:r>
        <w:t>15. Build, Packaging and Migrations</w:t>
      </w:r>
    </w:p>
    <w:p>
      <w:pPr>
        <w:pStyle w:val="ListBullet"/>
      </w:pPr>
      <w:r>
        <w:t>Desktop bundle: Tauri packages React UI plus signed/packaged Python Knowledge Engine sidecar.</w:t>
      </w:r>
    </w:p>
    <w:p>
      <w:pPr>
        <w:pStyle w:val="ListBullet"/>
      </w:pPr>
      <w:r>
        <w:t>Python sidecar packaging spike compares PyInstaller and Nuitka Community for Docling/native-vector compatibility and size/startup trade-offs.</w:t>
      </w:r>
    </w:p>
    <w:p>
      <w:pPr>
        <w:pStyle w:val="ListBullet"/>
      </w:pPr>
      <w:r>
        <w:t>Database migrations use Alembic and a schema-version compatibility check at startup.</w:t>
      </w:r>
    </w:p>
    <w:p>
      <w:pPr>
        <w:pStyle w:val="ListBullet"/>
      </w:pPr>
      <w:r>
        <w:t>Index schema versions are explicit; incompatible indexes are rebuilt instead of interpreted with new code.</w:t>
      </w:r>
    </w:p>
    <w:p>
      <w:pPr>
        <w:pStyle w:val="ListBullet"/>
      </w:pPr>
      <w:r>
        <w:t>Build generates SBOM and third-party license inventory; release fails on disallowed dependency/license policy.</w:t>
      </w:r>
    </w:p>
    <w:p>
      <w:pPr>
        <w:pStyle w:val="ListBullet"/>
      </w:pPr>
      <w:r>
        <w:t>Model manifests pin model ID/license/config and are treated as deploy-time artifacts rather than hidden application assumptions.</w:t>
      </w:r>
    </w:p>
    <w:p>
      <w:pPr>
        <w:pStyle w:val="Heading1"/>
      </w:pPr>
      <w:r>
        <w:t>16. Engineering Definition of Done</w:t>
      </w:r>
    </w:p>
    <w:p>
      <w:pPr>
        <w:pStyle w:val="ListNumber"/>
      </w:pPr>
      <w:r>
        <w:t>Feature has typed domain/API contracts and no implicit cross-module database access.</w:t>
      </w:r>
    </w:p>
    <w:p>
      <w:pPr>
        <w:pStyle w:val="ListNumber"/>
      </w:pPr>
      <w:r>
        <w:t>Happy path plus failure/edge-case unit and integration tests pass.</w:t>
      </w:r>
    </w:p>
    <w:p>
      <w:pPr>
        <w:pStyle w:val="ListNumber"/>
      </w:pPr>
      <w:r>
        <w:t>No new agent capability is added without policy allow-list and security test coverage.</w:t>
      </w:r>
    </w:p>
    <w:p>
      <w:pPr>
        <w:pStyle w:val="ListNumber"/>
      </w:pPr>
      <w:r>
        <w:t>Telemetry includes operation duration/outcome and excludes secrets.</w:t>
      </w:r>
    </w:p>
    <w:p>
      <w:pPr>
        <w:pStyle w:val="ListNumber"/>
      </w:pPr>
      <w:r>
        <w:t>Resource behavior is measured for any new heavy worker/model/parser operation.</w:t>
      </w:r>
    </w:p>
    <w:p>
      <w:pPr>
        <w:pStyle w:val="ListNumber"/>
      </w:pPr>
      <w:r>
        <w:t>Data migrations and derived-index migration/rebuild behavior are defined.</w:t>
      </w:r>
    </w:p>
    <w:p>
      <w:pPr>
        <w:pStyle w:val="ListNumber"/>
      </w:pPr>
      <w:r>
        <w:t>Open-source/license review passes for new runtime dependencies/models.</w:t>
      </w:r>
    </w:p>
    <w:p>
      <w:pPr>
        <w:pStyle w:val="ListNumber"/>
      </w:pPr>
      <w:r>
        <w:t>User-visible factual results retain provenance/citation traceability.</w:t>
      </w:r>
    </w:p>
    <w:p>
      <w:pPr>
        <w:pStyle w:val="ListNumber"/>
      </w:pPr>
      <w:r>
        <w:t>Documentation/ADR is updated for changes to ownership boundaries or persistent data models.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Version 1.0  |  21 September 2026  | 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46464"/>
        <w:sz w:val="16"/>
      </w:rPr>
      <w:t>Local-First Work Intelligence System  |  TDD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75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5F9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2E5F9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F3754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88" w:right="144"/>
    </w:pPr>
    <w:rPr>
      <w:rFonts w:ascii="Liberation Mono" w:hAnsi="Liberation Mono"/>
      <w:sz w:val="17"/>
    </w:rPr>
  </w:style>
  <w:style w:type="paragraph" w:customStyle="1" w:styleId="Small">
    <w:name w:val="Small"/>
    <w:rPr>
      <w:rFonts w:ascii="Aptos" w:hAnsi="Aptos"/>
      <w:color w:val="5A5A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