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textmaker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"/>
        <w:ind w:right="-113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8. Recursos del Proyecto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6"/>
        </w:rPr>
      </w:pPr>
      <w:r>
        <w:rPr>
          <w:rFonts w:cs="Arial"/>
          <w:b w:val="0"/>
          <w:bCs/>
          <w:sz w:val="20"/>
          <w:szCs w:val="36"/>
        </w:rPr>
        <w:t xml:space="preserve">Este apartado detalla los recursos humanos, materiales, tecnológicos y económicos necesarios para desarrollar la primera versión funcional de la aplicación en un periodo estimado de </w:t>
      </w:r>
      <w:r>
        <w:rPr>
          <w:rFonts w:cs="Arial"/>
          <w:b/>
          <w:bCs/>
          <w:sz w:val="20"/>
          <w:szCs w:val="36"/>
        </w:rPr>
        <w:t>22 semanas</w:t>
      </w:r>
      <w:r>
        <w:rPr>
          <w:rFonts w:cs="Arial"/>
          <w:b w:val="0"/>
          <w:bCs/>
          <w:sz w:val="20"/>
          <w:szCs w:val="36"/>
        </w:rPr>
        <w:t>. La planificación está basada en un equipo realista y costes estándar del sector tecnológico.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6"/>
        </w:rPr>
      </w:pPr>
      <w:r>
        <w:rPr>
          <w:noProof/>
        </w:rPr>
        <w:pict>
          <v:rect id="_x0000_i1026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36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8.1. Equipo de trabajo: roles y responsabilidades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 xml:space="preserve">Para garantizar una ejecución eficiente del proyecto, se establece un equipo multidisciplinar compuesto por </w:t>
      </w:r>
      <w:r>
        <w:rPr>
          <w:rFonts w:cs="Arial"/>
          <w:b/>
          <w:bCs/>
          <w:sz w:val="20"/>
          <w:szCs w:val="32"/>
        </w:rPr>
        <w:t>10 profesionales</w:t>
      </w:r>
      <w:r>
        <w:rPr>
          <w:rFonts w:cs="Arial"/>
          <w:b w:val="0"/>
          <w:bCs/>
          <w:sz w:val="20"/>
          <w:szCs w:val="32"/>
        </w:rPr>
        <w:t>, cada uno con responsabilidades claras.</w:t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Jefe de Proyecto (1)</w:t>
        <w:br w:type="textWrapping"/>
      </w:r>
      <w:r>
        <w:rPr>
          <w:rFonts w:cs="Arial"/>
          <w:b w:val="0"/>
          <w:bCs/>
          <w:sz w:val="20"/>
          <w:szCs w:val="32"/>
        </w:rPr>
        <w:t xml:space="preserve"> Coordinación general, gestión de hitos, comunicación con stakeholders, control de riesgos y entrega.</w:t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Analistas Funcionales / UX Researchers (2)</w:t>
        <w:br w:type="textWrapping"/>
      </w:r>
      <w:r>
        <w:rPr>
          <w:rFonts w:cs="Arial"/>
          <w:b w:val="0"/>
          <w:bCs/>
          <w:sz w:val="20"/>
          <w:szCs w:val="32"/>
        </w:rPr>
        <w:t xml:space="preserve"> Recopilación de requisitos, diseño funcional, casos de uso, validación con expertos en Mus, prototipado inicial.</w:t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Desarrolladores Backend (2)</w:t>
        <w:br w:type="textWrapping"/>
      </w:r>
      <w:r>
        <w:rPr>
          <w:rFonts w:cs="Arial"/>
          <w:b w:val="0"/>
          <w:bCs/>
          <w:sz w:val="20"/>
          <w:szCs w:val="32"/>
        </w:rPr>
        <w:t xml:space="preserve"> Implementación del motor Monte Carlo, algoritmos de análisis probabilístico, cálculos de EV y lógica interna.</w:t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Desarrolladores Frontend / Mobile (2)</w:t>
        <w:br w:type="textWrapping"/>
      </w:r>
      <w:r>
        <w:rPr>
          <w:rFonts w:cs="Arial"/>
          <w:b w:val="0"/>
          <w:bCs/>
          <w:sz w:val="20"/>
          <w:szCs w:val="32"/>
        </w:rPr>
        <w:t xml:space="preserve"> Diseño e implementación de la interfaz, visualización de cartas, navegación, gráficos y experiencia de usuario.</w:t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Especialista en Datos y Probabilidad (1)</w:t>
        <w:br w:type="textWrapping"/>
      </w:r>
      <w:r>
        <w:rPr>
          <w:rFonts w:cs="Arial"/>
          <w:b w:val="0"/>
          <w:bCs/>
          <w:sz w:val="20"/>
          <w:szCs w:val="32"/>
        </w:rPr>
        <w:t xml:space="preserve"> Modelado estadístico, optimización de simulaciones, validación matemática y rendimiento del motor.</w:t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QA / Tester (1)</w:t>
        <w:br w:type="textWrapping"/>
      </w:r>
      <w:r>
        <w:rPr>
          <w:rFonts w:cs="Arial"/>
          <w:b w:val="0"/>
          <w:bCs/>
          <w:sz w:val="20"/>
          <w:szCs w:val="32"/>
        </w:rPr>
        <w:t xml:space="preserve"> Plan de pruebas, control de calidad, pruebas automatizadas, informes de incidencias y verificación de criterios de aceptación.</w:t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Responsable de Documentación y Producto (1)</w:t>
        <w:br w:type="textWrapping"/>
      </w:r>
      <w:r>
        <w:rPr>
          <w:rFonts w:cs="Arial"/>
          <w:b w:val="0"/>
          <w:bCs/>
          <w:sz w:val="20"/>
          <w:szCs w:val="32"/>
        </w:rPr>
        <w:t xml:space="preserve"> Manuales técnicos, manual de usuario, control de versiones documentales, preparación de presentación a inversores.</w:t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Total de personal: 10 personas.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noProof/>
        </w:rPr>
        <w:pict>
          <v:rect id="_x0000_i1027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8.2. Recursos materiales y tecnológicos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Para el desarrollo completo del proyecto se requieren los siguientes recursos: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Hardware</w:t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10 equipos de desarrollo (portátiles/torres de gama media-alta).</w:t>
        <w:br w:type="textWrapping"/>
        <w:t>– CPU multinúcleo (i7/Ryzen 7), 16–32 GB RAM, SSD 500 GB.</w:t>
        <w:br w:type="textWrapping"/>
        <w:t xml:space="preserve">– Coste medio por equipo: </w:t>
      </w:r>
      <w:r>
        <w:rPr>
          <w:rFonts w:cs="Arial"/>
          <w:b/>
          <w:bCs/>
          <w:sz w:val="20"/>
          <w:szCs w:val="28"/>
        </w:rPr>
        <w:t>700–1.000 €</w:t>
      </w:r>
      <w:r>
        <w:rPr>
          <w:rFonts w:cs="Arial"/>
          <w:b w:val="0"/>
          <w:bCs/>
          <w:sz w:val="20"/>
          <w:szCs w:val="28"/>
        </w:rPr>
        <w:t xml:space="preserve"> (si se adquieren).</w:t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Software y Herramientas</w:t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IDEs: Android Studio / IntelliJ (gratuitos o con licencias educativas).</w:t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Librerías estadísticas y gráficas (open source).</w:t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Diseño UX/UI: Figma Pro o Adobe XD → </w:t>
      </w:r>
      <w:r>
        <w:rPr>
          <w:rFonts w:cs="Arial"/>
          <w:b/>
          <w:bCs/>
          <w:sz w:val="20"/>
          <w:szCs w:val="28"/>
        </w:rPr>
        <w:t>120–180 €/año por usuario</w:t>
      </w:r>
      <w:r>
        <w:rPr>
          <w:rFonts w:cs="Arial"/>
          <w:b w:val="0"/>
          <w:bCs/>
          <w:sz w:val="20"/>
          <w:szCs w:val="28"/>
        </w:rPr>
        <w:t xml:space="preserve"> (solo para 2 diseñadores).</w:t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Herramientas UML: StarUML / Licencia individual → </w:t>
      </w:r>
      <w:r>
        <w:rPr>
          <w:rFonts w:cs="Arial"/>
          <w:b/>
          <w:bCs/>
          <w:sz w:val="20"/>
          <w:szCs w:val="28"/>
        </w:rPr>
        <w:t>~60 €</w:t>
      </w:r>
      <w:r>
        <w:rPr>
          <w:rFonts w:cs="Arial"/>
          <w:b w:val="0"/>
          <w:bCs/>
          <w:sz w:val="20"/>
          <w:szCs w:val="28"/>
        </w:rPr>
        <w:t>.</w:t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Sistemas de control de versiones: GitHub/GitLab (plan Teams opcional).</w:t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Herramientas de testing automatizado.</w:t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Frameworks de gráficos para análisis visual.</w:t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Servicios adicionales</w:t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Plataforma de gestión del proyecto: Jira / Notion → </w:t>
      </w:r>
      <w:r>
        <w:rPr>
          <w:rFonts w:cs="Arial"/>
          <w:b/>
          <w:bCs/>
          <w:sz w:val="20"/>
          <w:szCs w:val="28"/>
        </w:rPr>
        <w:t>5–10 €/usuario/mes</w:t>
      </w:r>
      <w:r>
        <w:rPr>
          <w:rFonts w:cs="Arial"/>
          <w:b w:val="0"/>
          <w:bCs/>
          <w:sz w:val="20"/>
          <w:szCs w:val="28"/>
        </w:rPr>
        <w:t>.</w:t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Almacenamiento seguro en la nube para documentación compartida.</w:t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Servidores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No se requieren servidores externos para la aplicación final (funciona 100% offline).</w:t>
        <w:br w:type="textWrapping"/>
        <w:t>Solo se emplean servicios internos de coordinación durante el desarrollo.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noProof/>
        </w:rPr>
        <w:pict>
          <v:rect id="_x0000_i1028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8.3. Presupuesto estimado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 xml:space="preserve">El presupuesto se calcula para un desarrollo profesional realista, durante </w:t>
      </w:r>
      <w:r>
        <w:rPr>
          <w:rFonts w:cs="Arial"/>
          <w:b/>
          <w:bCs/>
          <w:sz w:val="20"/>
          <w:szCs w:val="32"/>
        </w:rPr>
        <w:t>22 semanas (5–6 meses)</w:t>
      </w:r>
      <w:r>
        <w:rPr>
          <w:rFonts w:cs="Arial"/>
          <w:b w:val="0"/>
          <w:bCs/>
          <w:sz w:val="20"/>
          <w:szCs w:val="32"/>
        </w:rPr>
        <w:t>, con salarios medios del sector tecnológico en España.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8.3.1. Coste de personal (principal partida)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Los salarios se estiman según perfiles junior-intermedio:</w:t>
      </w:r>
    </w:p>
    <w:tbl>
      <w:tblPr>
        <w:name w:val="Tabla1"/>
        <w:tabOrder w:val="0"/>
        <w:jc w:val="left"/>
        <w:tblInd w:w="0" w:type="dxa"/>
        <w:tblW w:w="9640" w:type="dxa"/>
        <w:pPr>
          <w:keepNext/>
          <w:keepLines/>
          <w:pBdr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  <w:between w:val="nil" w:sz="0" w:space="0" w:color="000000" tmln="20, 20, 20, 0, 0"/>
          </w:pBdr>
          <w:shd w:val="none"/>
          <w:rPr>
            <w:rFonts w:cs="Arial"/>
            <w:b w:val="0"/>
            <w:bCs/>
            <w:sz w:val="20"/>
            <w:szCs w:val="28"/>
          </w:rPr>
        </w:pPr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trKeepWithNext w:val="0"/>
          <w:trBreak w:val="0"/>
          <w:cantSplit w:val="0"/>
          <w:trHeight w:val="0" w:hRule="auto"/>
        </w:trPr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Rol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Nº Personas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Salario mensual estimado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Meses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Coste total</w:t>
            </w:r>
          </w:p>
        </w:tc>
      </w:tr>
      <w:tr>
        <w:trPr>
          <w:tblHeader w:val="0"/>
          <w:trKeepWithNext w:val="0"/>
          <w:trBreak w:val="0"/>
          <w:cantSplit w:val="0"/>
          <w:trHeight w:val="0" w:hRule="auto"/>
        </w:trPr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Jefe de proyecto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1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3.200 €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5,5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/>
                <w:bCs/>
                <w:sz w:val="20"/>
                <w:szCs w:val="28"/>
              </w:rPr>
            </w:pPr>
            <w:r>
              <w:rPr>
                <w:rFonts w:cs="Arial"/>
                <w:b/>
                <w:bCs/>
                <w:sz w:val="20"/>
                <w:szCs w:val="28"/>
              </w:rPr>
              <w:t>17.600 €</w:t>
            </w:r>
          </w:p>
        </w:tc>
      </w:tr>
      <w:tr>
        <w:trPr>
          <w:tblHeader w:val="0"/>
          <w:trKeepWithNext w:val="0"/>
          <w:trBreak w:val="0"/>
          <w:cantSplit w:val="0"/>
          <w:trHeight w:val="0" w:hRule="auto"/>
        </w:trPr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Analistas funcionales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2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2.300 €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5,5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/>
                <w:bCs/>
                <w:sz w:val="20"/>
                <w:szCs w:val="28"/>
              </w:rPr>
            </w:pPr>
            <w:r>
              <w:rPr>
                <w:rFonts w:cs="Arial"/>
                <w:b/>
                <w:bCs/>
                <w:sz w:val="20"/>
                <w:szCs w:val="28"/>
              </w:rPr>
              <w:t>25.300 €</w:t>
            </w:r>
          </w:p>
        </w:tc>
      </w:tr>
      <w:tr>
        <w:trPr>
          <w:tblHeader w:val="0"/>
          <w:trKeepWithNext w:val="0"/>
          <w:trBreak w:val="0"/>
          <w:cantSplit w:val="0"/>
          <w:trHeight w:val="0" w:hRule="auto"/>
        </w:trPr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Backend developers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2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2.700 €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5,5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/>
                <w:bCs/>
                <w:sz w:val="20"/>
                <w:szCs w:val="28"/>
              </w:rPr>
            </w:pPr>
            <w:r>
              <w:rPr>
                <w:rFonts w:cs="Arial"/>
                <w:b/>
                <w:bCs/>
                <w:sz w:val="20"/>
                <w:szCs w:val="28"/>
              </w:rPr>
              <w:t>29.700 €</w:t>
            </w:r>
          </w:p>
        </w:tc>
      </w:tr>
      <w:tr>
        <w:trPr>
          <w:tblHeader w:val="0"/>
          <w:trKeepWithNext w:val="0"/>
          <w:trBreak w:val="0"/>
          <w:cantSplit w:val="0"/>
          <w:trHeight w:val="0" w:hRule="auto"/>
        </w:trPr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Frontend/mobile devs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2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2.600 €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5,5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/>
                <w:bCs/>
                <w:sz w:val="20"/>
                <w:szCs w:val="28"/>
              </w:rPr>
            </w:pPr>
            <w:r>
              <w:rPr>
                <w:rFonts w:cs="Arial"/>
                <w:b/>
                <w:bCs/>
                <w:sz w:val="20"/>
                <w:szCs w:val="28"/>
              </w:rPr>
              <w:t>28.600 €</w:t>
            </w:r>
          </w:p>
        </w:tc>
      </w:tr>
      <w:tr>
        <w:trPr>
          <w:tblHeader w:val="0"/>
          <w:trKeepWithNext w:val="0"/>
          <w:trBreak w:val="0"/>
          <w:cantSplit w:val="0"/>
          <w:trHeight w:val="0" w:hRule="auto"/>
        </w:trPr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Especialista en datos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1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3.000 €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5,5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/>
                <w:bCs/>
                <w:sz w:val="20"/>
                <w:szCs w:val="28"/>
              </w:rPr>
            </w:pPr>
            <w:r>
              <w:rPr>
                <w:rFonts w:cs="Arial"/>
                <w:b/>
                <w:bCs/>
                <w:sz w:val="20"/>
                <w:szCs w:val="28"/>
              </w:rPr>
              <w:t>16.500 €</w:t>
            </w:r>
          </w:p>
        </w:tc>
      </w:tr>
      <w:tr>
        <w:trPr>
          <w:tblHeader w:val="0"/>
          <w:trKeepWithNext w:val="0"/>
          <w:trBreak w:val="0"/>
          <w:cantSplit w:val="0"/>
          <w:trHeight w:val="0" w:hRule="auto"/>
        </w:trPr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QA / Tester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1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2.200 €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5,5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/>
                <w:bCs/>
                <w:sz w:val="20"/>
                <w:szCs w:val="28"/>
              </w:rPr>
            </w:pPr>
            <w:r>
              <w:rPr>
                <w:rFonts w:cs="Arial"/>
                <w:b/>
                <w:bCs/>
                <w:sz w:val="20"/>
                <w:szCs w:val="28"/>
              </w:rPr>
              <w:t>12.100 €</w:t>
            </w:r>
          </w:p>
        </w:tc>
      </w:tr>
      <w:tr>
        <w:trPr>
          <w:tblHeader w:val="0"/>
          <w:trKeepWithNext w:val="0"/>
          <w:trBreak w:val="0"/>
          <w:cantSplit w:val="0"/>
          <w:trHeight w:val="0" w:hRule="auto"/>
        </w:trPr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Documentación / producto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1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2.000 €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5,5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/>
                <w:bCs/>
                <w:sz w:val="20"/>
                <w:szCs w:val="28"/>
              </w:rPr>
            </w:pPr>
            <w:r>
              <w:rPr>
                <w:rFonts w:cs="Arial"/>
                <w:b/>
                <w:bCs/>
                <w:sz w:val="20"/>
                <w:szCs w:val="28"/>
              </w:rPr>
              <w:t>11.000 €</w:t>
            </w:r>
          </w:p>
        </w:tc>
      </w:tr>
    </w:tbl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Coste total estimado de personal: ≈ 140.800 €</w:t>
        <w:br w:type="textWrapping"/>
      </w:r>
      <w:r>
        <w:rPr>
          <w:rFonts w:cs="Arial"/>
          <w:b w:val="0"/>
          <w:bCs/>
          <w:sz w:val="20"/>
          <w:szCs w:val="28"/>
        </w:rPr>
        <w:t xml:space="preserve"> </w:t>
      </w:r>
      <w:r>
        <w:rPr>
          <w:rFonts w:cs="Arial"/>
          <w:b w:val="0"/>
          <w:bCs/>
          <w:i/>
          <w:sz w:val="20"/>
          <w:szCs w:val="28"/>
        </w:rPr>
        <w:t>(la cifra puede variar según convenios, perfiles y seniority)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noProof/>
        </w:rPr>
        <w:pict>
          <v:rect id="_x0000_i1029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8.3.2. Costes materiales y tecnológicos</w:t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Equipos de desarrollo (si se adquieren): 10 × 900 € → </w:t>
      </w:r>
      <w:r>
        <w:rPr>
          <w:rFonts w:cs="Arial"/>
          <w:b/>
          <w:bCs/>
          <w:sz w:val="20"/>
          <w:szCs w:val="28"/>
        </w:rPr>
        <w:t>9.000 €</w:t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Licencias de diseño UX (2 personas, 6 meses): ~200 €</w:t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Jira / Notion / herramientas de gestión: ~600 €</w:t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StarUML / herramientas UML: ~120 €</w:t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Otros materiales y software menor: ~200 €</w:t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Subtotal materiales y software: ≈ 10.000 €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noProof/>
        </w:rPr>
        <w:pict>
          <v:rect id="_x0000_i1030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8.3.3. Costes de gestión, publicación y presentación</w:t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Material de presentación, prototipos, vídeos, mockups: </w:t>
      </w:r>
      <w:r>
        <w:rPr>
          <w:rFonts w:cs="Arial"/>
          <w:b/>
          <w:bCs/>
          <w:sz w:val="20"/>
          <w:szCs w:val="28"/>
        </w:rPr>
        <w:t>150–300 €</w:t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Publicación en tiendas (Google Play): </w:t>
      </w:r>
      <w:r>
        <w:rPr>
          <w:rFonts w:cs="Arial"/>
          <w:b/>
          <w:bCs/>
          <w:sz w:val="20"/>
          <w:szCs w:val="28"/>
        </w:rPr>
        <w:t>25 €</w:t>
      </w:r>
      <w:r>
        <w:rPr>
          <w:rFonts w:cs="Arial"/>
          <w:b w:val="0"/>
          <w:bCs/>
          <w:sz w:val="20"/>
          <w:szCs w:val="28"/>
        </w:rPr>
        <w:t xml:space="preserve"> (pago único)</w:t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Contingencias: </w:t>
      </w:r>
      <w:r>
        <w:rPr>
          <w:rFonts w:cs="Arial"/>
          <w:b/>
          <w:bCs/>
          <w:sz w:val="20"/>
          <w:szCs w:val="28"/>
        </w:rPr>
        <w:t>500 €</w:t>
      </w:r>
    </w:p>
    <w:p>
      <w:pPr>
        <w:numPr>
          <w:ilvl w:val="0"/>
          <w:numId w:val="1"/>
        </w:numPr>
        <w:ind w:left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Subtotal: ≈ 800 €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noProof/>
        </w:rPr>
        <w:pict>
          <v:rect id="_x0000_i1031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8.3.4. Presupuesto total estimado</w:t>
      </w:r>
    </w:p>
    <w:tbl>
      <w:tblPr>
        <w:name w:val="Tabla2"/>
        <w:tabOrder w:val="0"/>
        <w:jc w:val="left"/>
        <w:tblInd w:w="0" w:type="dxa"/>
        <w:tblW w:w="9640" w:type="dxa"/>
        <w:pPr>
          <w:keepNext/>
          <w:keepLines/>
          <w:pBdr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  <w:between w:val="nil" w:sz="0" w:space="0" w:color="000000" tmln="20, 20, 20, 0, 0"/>
          </w:pBdr>
          <w:shd w:val="none"/>
          <w:rPr>
            <w:rFonts w:cs="Arial"/>
            <w:b w:val="0"/>
            <w:bCs/>
            <w:sz w:val="20"/>
            <w:szCs w:val="28"/>
          </w:rPr>
        </w:pPr>
      </w:tblPr>
      <w:tblGrid>
        <w:gridCol w:w="4820"/>
        <w:gridCol w:w="4820"/>
      </w:tblGrid>
      <w:tr>
        <w:trPr>
          <w:tblHeader/>
          <w:trKeepWithNext w:val="0"/>
          <w:trBreak w:val="0"/>
          <w:cantSplit w:val="0"/>
          <w:trHeight w:val="0" w:hRule="auto"/>
        </w:trPr>
        <w:tc>
          <w:tcPr>
            <w:tcW w:w="25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Concepto</w:t>
            </w:r>
          </w:p>
        </w:tc>
        <w:tc>
          <w:tcPr>
            <w:tcW w:w="25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Importe</w:t>
            </w:r>
          </w:p>
        </w:tc>
      </w:tr>
      <w:tr>
        <w:trPr>
          <w:tblHeader w:val="0"/>
          <w:trKeepWithNext w:val="0"/>
          <w:trBreak w:val="0"/>
          <w:cantSplit w:val="0"/>
          <w:trHeight w:val="0" w:hRule="auto"/>
        </w:trPr>
        <w:tc>
          <w:tcPr>
            <w:tcW w:w="25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Personal</w:t>
            </w:r>
          </w:p>
        </w:tc>
        <w:tc>
          <w:tcPr>
            <w:tcW w:w="25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~140.800 €</w:t>
            </w:r>
          </w:p>
        </w:tc>
      </w:tr>
      <w:tr>
        <w:trPr>
          <w:tblHeader w:val="0"/>
          <w:trKeepWithNext w:val="0"/>
          <w:trBreak w:val="0"/>
          <w:cantSplit w:val="0"/>
          <w:trHeight w:val="0" w:hRule="auto"/>
        </w:trPr>
        <w:tc>
          <w:tcPr>
            <w:tcW w:w="25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Hardware y software</w:t>
            </w:r>
          </w:p>
        </w:tc>
        <w:tc>
          <w:tcPr>
            <w:tcW w:w="25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~10.000 €</w:t>
            </w:r>
          </w:p>
        </w:tc>
      </w:tr>
      <w:tr>
        <w:trPr>
          <w:tblHeader w:val="0"/>
          <w:trKeepWithNext w:val="0"/>
          <w:trBreak w:val="0"/>
          <w:cantSplit w:val="0"/>
          <w:trHeight w:val="0" w:hRule="auto"/>
        </w:trPr>
        <w:tc>
          <w:tcPr>
            <w:tcW w:w="25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Gestión y presentación</w:t>
            </w:r>
          </w:p>
        </w:tc>
        <w:tc>
          <w:tcPr>
            <w:tcW w:w="25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 w:val="0"/>
                <w:bCs/>
                <w:sz w:val="20"/>
                <w:szCs w:val="28"/>
              </w:rPr>
            </w:pPr>
            <w:r>
              <w:rPr>
                <w:rFonts w:cs="Arial"/>
                <w:b w:val="0"/>
                <w:bCs/>
                <w:sz w:val="20"/>
                <w:szCs w:val="28"/>
              </w:rPr>
              <w:t>~800 €</w:t>
            </w:r>
          </w:p>
        </w:tc>
      </w:tr>
      <w:tr>
        <w:trPr>
          <w:tblHeader w:val="0"/>
          <w:trKeepWithNext w:val="0"/>
          <w:trBreak w:val="0"/>
          <w:cantSplit w:val="0"/>
          <w:trHeight w:val="0" w:hRule="auto"/>
        </w:trPr>
        <w:tc>
          <w:tcPr>
            <w:tcW w:w="25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/>
                <w:bCs/>
                <w:sz w:val="20"/>
                <w:szCs w:val="28"/>
              </w:rPr>
            </w:pPr>
            <w:r>
              <w:rPr>
                <w:rFonts w:cs="Arial"/>
                <w:b/>
                <w:bCs/>
                <w:sz w:val="20"/>
                <w:szCs w:val="28"/>
              </w:rPr>
              <w:t>Total estimado del proyecto</w:t>
            </w:r>
          </w:p>
        </w:tc>
        <w:tc>
          <w:tcPr>
            <w:tcW w:w="25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4527278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cs="Arial"/>
                <w:b/>
                <w:bCs/>
                <w:sz w:val="20"/>
                <w:szCs w:val="28"/>
              </w:rPr>
            </w:pPr>
            <w:r>
              <w:rPr>
                <w:rFonts w:cs="Arial"/>
                <w:b/>
                <w:bCs/>
                <w:sz w:val="20"/>
                <w:szCs w:val="28"/>
              </w:rPr>
              <w:t>≈ 151.600 €</w:t>
            </w:r>
          </w:p>
        </w:tc>
      </w:tr>
    </w:tbl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Teniendo esta cifra en cuenta, establecemos el presupuesto del proyecto en unos 170.000€.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El presupuesto incluye un margen del 10–15% para cubrir posibles imprevistos técnicos o funcionales durante el 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desarrollo</w:t>
      </w:r>
    </w:p>
    <w:sectPr>
      <w:footnotePr>
        <w:pos w:val="pageBottom"/>
        <w:numFmt w:val="decimal"/>
        <w:numStart w:val="1"/>
        <w:numRestart w:val="continuous"/>
        <w:tmFnProps w:left="0" w:right="0" w:top="72" w:bottom="72">
          <w:tmFnLine w:val="single" w:sz="5" w:space="0" w:color="000000" tmln="12, 20, 20, 0, 0"/>
        </w:tmFnProps>
      </w:footnotePr>
      <w:endnotePr>
        <w:pos w:val="docEnd"/>
        <w:numFmt w:val="lowerRoman"/>
        <w:numStart w:val="1"/>
        <w:numRestart w:val="continuous"/>
        <w:tmFnProps w:left="0" w:right="0" w:top="72" w:bottom="72">
          <w:tmFnLine w:val="single" w:sz="5" w:space="0" w:color="000000" tmln="12, 20, 20, 0, 0"/>
        </w:tmFnProps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suff w:val="dxa"/>
      <w:lvlText w:val=""/>
      <w:lvlJc w:val="left"/>
      <w:addIndent w:val="0"/>
      <w:bPr>
        <w:type w:val="none"/>
        <w:position w:dxa="360" w:dya="0"/>
        <w:jc w:val="left"/>
        <w:after w:val="."/>
      </w:bPr>
    </w:lvl>
    <w:lvl w:ilvl="1">
      <w:numFmt w:val="none"/>
      <w:suff w:val="dxa"/>
      <w:lvlText w:val=""/>
      <w:lvlJc w:val="left"/>
      <w:addIndent w:val="0"/>
      <w:bPr>
        <w:type w:val="none"/>
        <w:position w:dxa="360" w:dya="0"/>
        <w:jc w:val="left"/>
        <w:after w:val="."/>
      </w:bPr>
    </w:lvl>
    <w:lvl w:ilvl="2">
      <w:numFmt w:val="none"/>
      <w:suff w:val="dxa"/>
      <w:lvlText w:val=""/>
      <w:lvlJc w:val="left"/>
      <w:addIndent w:val="0"/>
      <w:bPr>
        <w:type w:val="none"/>
        <w:position w:dxa="360" w:dya="0"/>
        <w:jc w:val="left"/>
        <w:after w:val="."/>
      </w:bPr>
    </w:lvl>
    <w:lvl w:ilvl="3">
      <w:numFmt w:val="none"/>
      <w:suff w:val="dxa"/>
      <w:lvlText w:val=""/>
      <w:lvlJc w:val="left"/>
      <w:addIndent w:val="0"/>
      <w:bPr>
        <w:type w:val="none"/>
        <w:position w:dxa="360" w:dya="0"/>
        <w:jc w:val="left"/>
        <w:after w:val="."/>
      </w:bPr>
    </w:lvl>
    <w:lvl w:ilvl="4">
      <w:numFmt w:val="none"/>
      <w:suff w:val="dxa"/>
      <w:lvlText w:val=""/>
      <w:lvlJc w:val="left"/>
      <w:addIndent w:val="0"/>
      <w:bPr>
        <w:type w:val="none"/>
        <w:position w:dxa="360" w:dya="0"/>
        <w:jc w:val="left"/>
        <w:after w:val="."/>
      </w:bPr>
    </w:lvl>
    <w:lvl w:ilvl="5">
      <w:numFmt w:val="none"/>
      <w:suff w:val="dxa"/>
      <w:lvlText w:val=""/>
      <w:lvlJc w:val="left"/>
      <w:addIndent w:val="0"/>
      <w:bPr>
        <w:type w:val="none"/>
        <w:position w:dxa="360" w:dya="0"/>
        <w:jc w:val="left"/>
        <w:after w:val="."/>
      </w:bPr>
    </w:lvl>
    <w:lvl w:ilvl="6">
      <w:numFmt w:val="none"/>
      <w:suff w:val="dxa"/>
      <w:lvlText w:val=""/>
      <w:lvlJc w:val="left"/>
      <w:addIndent w:val="0"/>
      <w:bPr>
        <w:type w:val="none"/>
        <w:position w:dxa="360" w:dya="0"/>
        <w:jc w:val="left"/>
        <w:after w:val="."/>
      </w:bPr>
    </w:lvl>
    <w:lvl w:ilvl="7">
      <w:numFmt w:val="none"/>
      <w:suff w:val="dxa"/>
      <w:lvlText w:val=""/>
      <w:lvlJc w:val="left"/>
      <w:addIndent w:val="0"/>
      <w:bPr>
        <w:type w:val="none"/>
        <w:position w:dxa="360" w:dya="0"/>
        <w:jc w:val="left"/>
        <w:after w:val="."/>
      </w:bPr>
    </w:lvl>
    <w:lvl w:ilvl="8">
      <w:numFmt w:val="none"/>
      <w:suff w:val="dxa"/>
      <w:lvlText w:val=""/>
      <w:lvlJc w:val="left"/>
      <w:addIndent w:val="0"/>
      <w:bPr>
        <w:type w:val="none"/>
        <w:position w:dxa="360" w:dya="0"/>
        <w:jc w:val="left"/>
        <w:after w:val="."/>
      </w:bPr>
    </w:lvl>
  </w:abstractNum>
  <w:abstractNum w:abstractNumId="1">
    <w:multiLevelType w:val="singleLevel"/>
    <w:name w:val="Bullet 1"/>
    <w:tmBullet/>
    <w:lvl w:ilvl="0">
      <w:numFmt w:val="bullet"/>
      <w:suff w:val="dxa"/>
      <w:lvlText w:val=""/>
      <w:lvlJc w:val="left"/>
      <w:addIndent w:val="0"/>
      <w:bPr>
        <w:type w:val="round"/>
        <w:position w:dxa="283" w:dya="0"/>
        <w:jc w:val="left"/>
      </w:b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tmAppRevision w:date="1764527278" w:val="1228" w:fileVer="342" w:fileVerOS="4"/>
  <w:zoom w:percent="100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  <w:tmFnProps w:left="0" w:right="0" w:top="72" w:bottom="72">
      <w:tmFnLine w:val="single" w:sz="5" w:space="0" w:color="000000" tmln="12, 20, 20, 0, 0"/>
    </w:tmFnProps>
  </w:footnotePr>
  <w:endnotePr>
    <w:pos w:val="docEnd"/>
    <w:numFmt w:val="lowerRoman"/>
    <w:numStart w:val="1"/>
    <w:numRestart w:val="continuous"/>
    <w:tmFnProps w:left="0" w:right="0" w:top="72" w:bottom="72">
      <w:tmFnLine w:val="single" w:sz="5" w:space="0" w:color="000000" tmln="12, 20, 20, 0, 0"/>
    </w:tmFnProps>
  </w:endnotePr>
  <w:compat>
    <w:compatSetting w:name="compatibilityMode" w:uri="http://schemas.microsoft.com/office/word" w:val="15"/>
  </w:compat>
  <w:shapeDefaults>
    <o:shapedefaults v:ext="edit" spidmax="1032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2"/>
    <w:tmLastPosSelect w:val="0"/>
    <w:tmLastPosFrameIdx w:val="0"/>
    <w:tmLastPosCaret>
      <w:tmLastPosPgfIdx w:val="82"/>
      <w:tmLastPosIdx w:val="0"/>
    </w:tmLastPosCaret>
    <w:tmLastPosAnchor>
      <w:tmLastPosPgfIdx w:val="0"/>
      <w:tmLastPosIdx w:val="0"/>
    </w:tmLastPosAnchor>
    <w:tmLastPosTblRect w:left="0" w:top="0" w:right="0" w:bottom="0"/>
  </w:tmLastPos>
  <w:indexPr/>
  <bibliography>
    <biboptions val="0" w:num="0"/>
  </bibliography>
  <w:guidesAndGrid showGuides="1" lockGuides="0" snapToGuides="1" snapToPageMargins="0" tolerance="8" gridDistanceHorizontal="283" gridDistanceVertical="283" showGrid="0" snapToGrid="0"/>
  <w:decimalSymbol w:val=","/>
  <w:listSeparator w:val=";"/>
  <w:decimalTabCha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 kern="1"/>
        <w:sz w:val="20"/>
        <w:szCs w:val="20"/>
        <w:lang w:val="default" w:eastAsia="default" w:bidi="default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 kern="1"/>
        <w:sz w:val="20"/>
        <w:szCs w:val="20"/>
        <w:lang w:val="default" w:eastAsia="default" w:bidi="default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_rels/styles.xml.rels><?xml version="1.0" encoding="UTF-8" standalone="yes" ?>
<Relationships xmlns="http://schemas.openxmlformats.org/package/2006/relationships"/>
</file>

<file path=word/_rels/stylesWithEffects.xml.rels><?xml version="1.0" encoding="UTF-8" standalone="yes" 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ayoutDef>
      <a:wrapRect l="141" r="141" t="141" b="141"/>
    </a:layout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2025-11-30T18:16:35Z</dcterms:created>
  <dcterms:modified xsi:type="dcterms:W3CDTF">2025-11-30T18:27:58Z</dcterms:modified>
</cp:coreProperties>
</file>