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100"/>
      </w:pPr>
      <w:r>
        <w:rPr>
          <w:rFonts w:ascii="Arial" w:cs="Arial" w:eastAsia="Arial" w:hAnsi="Arial"/>
          <w:b/>
          <w:bCs/>
          <w:color w:val="888888"/>
          <w:sz w:val="18"/>
          <w:szCs w:val="18"/>
        </w:rPr>
        <w:t xml:space="preserve">AGENTE GEOPOLÍTICO  ·  DÍA 29 DEL CONFLICTO</w:t>
      </w:r>
    </w:p>
    <w:p>
      <w:pPr>
        <w:spacing w:before="0" w:after="80"/>
      </w:pPr>
      <w:r>
        <w:rPr>
          <w:rFonts w:ascii="Arial" w:cs="Arial" w:eastAsia="Arial" w:hAnsi="Arial"/>
          <w:b/>
          <w:bCs/>
          <w:color w:val="1F3A6E"/>
          <w:sz w:val="40"/>
          <w:szCs w:val="40"/>
        </w:rPr>
        <w:t xml:space="preserve">Análisis diario de la situación en el Estrecho de Ormuz</w:t>
      </w:r>
    </w:p>
    <w:p>
      <w:pPr>
        <w:spacing w:before="0" w:after="360"/>
      </w:pPr>
      <w:r>
        <w:rPr>
          <w:rFonts w:ascii="Arial" w:cs="Arial" w:eastAsia="Arial" w:hAnsi="Arial"/>
          <w:color w:val="888888"/>
          <w:sz w:val="20"/>
          <w:szCs w:val="20"/>
        </w:rPr>
        <w:t xml:space="preserve">28 de marzo de 2026  ·  Generado con búsqueda en tiempo real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68910" w:sz="12"/>
              <w:left w:val="single" w:color="D68910" w:sz="12"/>
              <w:bottom w:val="single" w:color="D68910" w:sz="12"/>
              <w:right w:val="single" w:color="D68910" w:sz="12"/>
            </w:tcBorders>
            <w:shd w:fill="FEF9E7" w:val="clear"/>
            <w:tcMar>
              <w:top w:type="dxa" w:w="140"/>
              <w:left w:type="dxa" w:w="220"/>
              <w:bottom w:type="dxa" w:w="140"/>
              <w:right w:type="dxa" w:w="220"/>
            </w:tcMar>
          </w:tcPr>
          <w:p>
            <w:pPr>
              <w:spacing w:after="80"/>
            </w:pPr>
            <w:r>
              <w:rPr>
                <w:rFonts w:ascii="Arial" w:cs="Arial" w:eastAsia="Arial" w:hAnsi="Arial"/>
                <w:b/>
                <w:bCs/>
                <w:color w:val="D68910"/>
                <w:sz w:val="20"/>
                <w:szCs w:val="20"/>
              </w:rPr>
              <w:t xml:space="preserve">↻  NUEVA DINÁMICA — PAKISTÁN COMO MEDIADOR · PEAJES · PRÓRROGA TRUMP</w:t>
            </w:r>
          </w:p>
          <w:p>
            <w:r>
              <w:rPr>
                <w:rFonts w:ascii="Arial" w:cs="Arial" w:eastAsia="Arial" w:hAnsi="Arial"/>
                <w:color w:val="333333"/>
                <w:sz w:val="19"/>
                <w:szCs w:val="19"/>
              </w:rPr>
              <w:t xml:space="preserve">Trump extiende el ultimátum 10 días. Irán exige soberanía sobre Hormuz y cobra peajes. Pakistán media y consigue 20 buques de paso. Brent $113. IPC España: 3,3% en marzo.</w:t>
            </w:r>
          </w:p>
        </w:tc>
      </w:tr>
    </w:tbl>
    <w:p>
      <w:pPr>
        <w:spacing w:before="60" w:after="60"/>
      </w:pPr>
      <w:r>
        <w:t xml:space="preserve"/>
      </w:r>
    </w:p>
    <w:p>
      <w:pPr>
        <w:pStyle w:val="Heading1"/>
        <w:pBdr>
          <w:bottom w:val="single" w:color="1F3A6E" w:sz="6" w:space="1"/>
        </w:pBdr>
        <w:spacing w:before="320" w:after="120"/>
      </w:pPr>
      <w:r>
        <w:rPr>
          <w:rFonts w:ascii="Arial" w:cs="Arial" w:eastAsia="Arial" w:hAnsi="Arial"/>
          <w:b/>
          <w:bCs/>
          <w:color w:val="1F3A6E"/>
          <w:sz w:val="28"/>
          <w:szCs w:val="28"/>
        </w:rPr>
        <w:t xml:space="preserve">1. Resumen ejecutivo</w:t>
      </w:r>
    </w:p>
    <w:p>
      <w:pPr>
        <w:spacing w:before="60" w:after="60"/>
      </w:pPr>
      <w:r>
        <w:rPr>
          <w:rFonts w:ascii="Arial" w:cs="Arial" w:eastAsia="Arial" w:hAnsi="Arial"/>
          <w:color w:val="222222"/>
          <w:sz w:val="20"/>
          <w:szCs w:val="20"/>
        </w:rPr>
        <w:t xml:space="preserve">El conflicto entra en su quinta semana con tres novedades de primer orden: Trump extendió ayer el plazo del ultimátum 10 días más (hasta el 2 de abril aproximadamente), alegando que las negociaciones van 'muy bien' — afirmación que Teherán desmiente. Irán ha añadido a sus condiciones de paz el reconocimiento de su soberanía sobre el Estrecho de Hormuz y está tramitando legislación para cobrar peajes a los buques que transiten — lo que convertiría la mayor ruta energética del mundo en una autopista de peaje controlada por las Guardias Revolucionarias.</w:t>
      </w:r>
    </w:p>
    <w:p>
      <w:pPr>
        <w:spacing w:before="60" w:after="60"/>
      </w:pPr>
      <w:r>
        <w:t xml:space="preserve"/>
      </w:r>
    </w:p>
    <w:p>
      <w:pPr>
        <w:spacing w:before="60" w:after="60"/>
      </w:pPr>
      <w:r>
        <w:rPr>
          <w:rFonts w:ascii="Arial" w:cs="Arial" w:eastAsia="Arial" w:hAnsi="Arial"/>
          <w:color w:val="222222"/>
          <w:sz w:val="20"/>
          <w:szCs w:val="20"/>
        </w:rPr>
        <w:t xml:space="preserve">Simultáneamente, Pakistán — mediador confirmado por el enviado especial Witkoff — logró que Irán permitiera el paso de 20 buques pakistaníes (2 al día). Es la primera apertura selectiva negociada por terceros. Los mercados reaccionaron con alivio relativo: el Brent bajó desde máximos pero sigue sobre $110. En España, el INE confirmó un IPC del 3,3% en marzo, el mayor salto mensual desde la guerra de Ucrania.</w:t>
      </w:r>
    </w:p>
    <w:p>
      <w:pPr>
        <w:spacing w:before="60" w:after="60"/>
      </w:pPr>
      <w:r>
        <w:t xml:space="preserve"/>
      </w:r>
    </w:p>
    <w:p>
      <w:pPr>
        <w:pStyle w:val="Heading1"/>
        <w:pBdr>
          <w:bottom w:val="single" w:color="1F3A6E" w:sz="6" w:space="1"/>
        </w:pBdr>
        <w:spacing w:before="320" w:after="120"/>
      </w:pPr>
      <w:r>
        <w:rPr>
          <w:rFonts w:ascii="Arial" w:cs="Arial" w:eastAsia="Arial" w:hAnsi="Arial"/>
          <w:b/>
          <w:bCs/>
          <w:color w:val="1F3A6E"/>
          <w:sz w:val="28"/>
          <w:szCs w:val="28"/>
        </w:rPr>
        <w:t xml:space="preserve">2. Noticias de última hora · FT · CNN · NBC · Al Jazeera · CBS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
        <w:gridCol w:w="1380"/>
        <w:gridCol w:w="7206"/>
      </w:tblGrid>
      <w:tr>
        <w:tc>
          <w:tcPr>
            <w:tcW w:type="dxa" w:w="440"/>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pPr>
              <w:jc w:val="left"/>
            </w:pPr>
            <w:r>
              <w:rPr>
                <w:rFonts w:ascii="Arial" w:cs="Arial" w:eastAsia="Arial" w:hAnsi="Arial"/>
                <w:b/>
                <w:bCs/>
                <w:color w:val="FFFFFF"/>
                <w:sz w:val="17"/>
                <w:szCs w:val="17"/>
              </w:rPr>
              <w:t xml:space="preserve">#</w:t>
            </w:r>
          </w:p>
        </w:tc>
        <w:tc>
          <w:tcPr>
            <w:tcW w:type="dxa" w:w="1380"/>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pPr>
              <w:jc w:val="left"/>
            </w:pPr>
            <w:r>
              <w:rPr>
                <w:rFonts w:ascii="Arial" w:cs="Arial" w:eastAsia="Arial" w:hAnsi="Arial"/>
                <w:b/>
                <w:bCs/>
                <w:color w:val="FFFFFF"/>
                <w:sz w:val="17"/>
                <w:szCs w:val="17"/>
              </w:rPr>
              <w:t xml:space="preserve">Fuente / Tema / Fecha</w:t>
            </w:r>
          </w:p>
        </w:tc>
        <w:tc>
          <w:tcPr>
            <w:tcW w:type="dxa" w:w="7206"/>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pPr>
              <w:jc w:val="left"/>
            </w:pPr>
            <w:r>
              <w:rPr>
                <w:rFonts w:ascii="Arial" w:cs="Arial" w:eastAsia="Arial" w:hAnsi="Arial"/>
                <w:b/>
                <w:bCs/>
                <w:color w:val="FFFFFF"/>
                <w:sz w:val="17"/>
                <w:szCs w:val="17"/>
              </w:rPr>
              <w:t xml:space="preserve">Titular y análisis</w:t>
            </w:r>
          </w:p>
        </w:tc>
      </w:tr>
      <w:tr>
        <w:tc>
          <w:tcPr>
            <w:tcW w:type="dxa" w:w="440"/>
            <w:tcBorders>
              <w:top w:val="single" w:color="BBBBBB" w:sz="1"/>
              <w:left w:val="single" w:color="BBBBBB" w:sz="1"/>
              <w:bottom w:val="single" w:color="BBBBBB" w:sz="1"/>
              <w:right w:val="single" w:color="BBBBBB" w:sz="1"/>
            </w:tcBorders>
            <w:shd w:fill="EAF0FB" w:val="clear"/>
            <w:tcMar>
              <w:top w:type="dxa" w:w="80"/>
              <w:left w:type="dxa" w:w="120"/>
              <w:bottom w:type="dxa" w:w="80"/>
              <w:right w:type="dxa" w:w="120"/>
            </w:tcMar>
          </w:tcPr>
          <w:p>
            <w:pPr>
              <w:jc w:val="center"/>
            </w:pPr>
            <w:r>
              <w:rPr>
                <w:rFonts w:ascii="Arial" w:cs="Arial" w:eastAsia="Arial" w:hAnsi="Arial"/>
                <w:b/>
                <w:bCs/>
                <w:color w:val="1F3A6E"/>
                <w:sz w:val="18"/>
                <w:szCs w:val="18"/>
              </w:rPr>
              <w:t xml:space="preserve">1</w:t>
            </w:r>
          </w:p>
        </w:tc>
        <w:tc>
          <w:tcPr>
            <w:tcW w:type="dxa" w:w="13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F3A6E"/>
                <w:sz w:val="16"/>
                <w:szCs w:val="16"/>
              </w:rPr>
              <w:t xml:space="preserve">CNN / Reuters</w:t>
            </w:r>
          </w:p>
          <w:p>
            <w:pPr>
              <w:spacing w:before="25"/>
            </w:pPr>
            <w:r>
              <w:rPr>
                <w:rFonts w:ascii="Arial" w:cs="Arial" w:eastAsia="Arial" w:hAnsi="Arial"/>
                <w:b/>
                <w:bCs/>
                <w:color w:val="C0392B"/>
                <w:sz w:val="14"/>
                <w:szCs w:val="14"/>
              </w:rPr>
              <w:t xml:space="preserve">Iran</w:t>
            </w:r>
          </w:p>
          <w:p>
            <w:pPr>
              <w:spacing w:before="25"/>
            </w:pPr>
            <w:r>
              <w:rPr>
                <w:rFonts w:ascii="Arial" w:cs="Arial" w:eastAsia="Arial" w:hAnsi="Arial"/>
                <w:i/>
                <w:iCs/>
                <w:color w:val="888888"/>
                <w:sz w:val="13"/>
                <w:szCs w:val="13"/>
              </w:rPr>
              <w:t xml:space="preserve">hace 7h</w:t>
            </w:r>
          </w:p>
        </w:tc>
        <w:tc>
          <w:tcPr>
            <w:tcW w:type="dxa" w:w="72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55"/>
            </w:pPr>
            <w:r>
              <w:rPr>
                <w:rFonts w:ascii="Arial" w:cs="Arial" w:eastAsia="Arial" w:hAnsi="Arial"/>
                <w:b/>
                <w:bCs/>
                <w:color w:val="111111"/>
                <w:sz w:val="19"/>
                <w:szCs w:val="19"/>
              </w:rPr>
              <w:t xml:space="preserve">Irán añade a sus condiciones de paz el reconocimiento de su soberanía sobre el Estrecho de Hormuz</w:t>
            </w:r>
          </w:p>
          <w:p>
            <w:r>
              <w:rPr>
                <w:rFonts w:ascii="Arial" w:cs="Arial" w:eastAsia="Arial" w:hAnsi="Arial"/>
                <w:i/>
                <w:iCs/>
                <w:color w:val="444444"/>
                <w:sz w:val="17"/>
                <w:szCs w:val="17"/>
              </w:rPr>
              <w:t xml:space="preserve">Un funcionario iraní exigió esta semana, por primera vez, que cualquier acuerdo de paz incluya el reconocimiento de la soberanía de Irán sobre el Estrecho. El nuevo líder supremo Mojtaba Khamenei declaró en su primer discurso público que el control del Estrecho 'debe continuar siendo utilizado'. El Parlamento iraní estudia una ley para cobrar peajes a los buques: 'Al igual que en otras rutas, cuando las mercancías pasan por un país se pagan aranceles', dijo un parlamentario.</w:t>
            </w:r>
          </w:p>
        </w:tc>
      </w:tr>
      <w:tr>
        <w:tc>
          <w:tcPr>
            <w:tcW w:type="dxa" w:w="440"/>
            <w:tcBorders>
              <w:top w:val="single" w:color="BBBBBB" w:sz="1"/>
              <w:left w:val="single" w:color="BBBBBB" w:sz="1"/>
              <w:bottom w:val="single" w:color="BBBBBB" w:sz="1"/>
              <w:right w:val="single" w:color="BBBBBB" w:sz="1"/>
            </w:tcBorders>
            <w:shd w:fill="EAF0FB" w:val="clear"/>
            <w:tcMar>
              <w:top w:type="dxa" w:w="80"/>
              <w:left w:type="dxa" w:w="120"/>
              <w:bottom w:type="dxa" w:w="80"/>
              <w:right w:type="dxa" w:w="120"/>
            </w:tcMar>
          </w:tcPr>
          <w:p>
            <w:pPr>
              <w:jc w:val="center"/>
            </w:pPr>
            <w:r>
              <w:rPr>
                <w:rFonts w:ascii="Arial" w:cs="Arial" w:eastAsia="Arial" w:hAnsi="Arial"/>
                <w:b/>
                <w:bCs/>
                <w:color w:val="1F3A6E"/>
                <w:sz w:val="18"/>
                <w:szCs w:val="18"/>
              </w:rPr>
              <w:t xml:space="preserve">2</w:t>
            </w:r>
          </w:p>
        </w:tc>
        <w:tc>
          <w:tcPr>
            <w:tcW w:type="dxa" w:w="13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F3A6E"/>
                <w:sz w:val="16"/>
                <w:szCs w:val="16"/>
              </w:rPr>
              <w:t xml:space="preserve">NBC News</w:t>
            </w:r>
          </w:p>
          <w:p>
            <w:pPr>
              <w:spacing w:before="25"/>
            </w:pPr>
            <w:r>
              <w:rPr>
                <w:rFonts w:ascii="Arial" w:cs="Arial" w:eastAsia="Arial" w:hAnsi="Arial"/>
                <w:b/>
                <w:bCs/>
                <w:color w:val="1E8449"/>
                <w:sz w:val="14"/>
                <w:szCs w:val="14"/>
              </w:rPr>
              <w:t xml:space="preserve">EEUU</w:t>
            </w:r>
          </w:p>
          <w:p>
            <w:pPr>
              <w:spacing w:before="25"/>
            </w:pPr>
            <w:r>
              <w:rPr>
                <w:rFonts w:ascii="Arial" w:cs="Arial" w:eastAsia="Arial" w:hAnsi="Arial"/>
                <w:i/>
                <w:iCs/>
                <w:color w:val="888888"/>
                <w:sz w:val="13"/>
                <w:szCs w:val="13"/>
              </w:rPr>
              <w:t xml:space="preserve">hace 11h</w:t>
            </w:r>
          </w:p>
        </w:tc>
        <w:tc>
          <w:tcPr>
            <w:tcW w:type="dxa" w:w="72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55"/>
            </w:pPr>
            <w:r>
              <w:rPr>
                <w:rFonts w:ascii="Arial" w:cs="Arial" w:eastAsia="Arial" w:hAnsi="Arial"/>
                <w:b/>
                <w:bCs/>
                <w:color w:val="111111"/>
                <w:sz w:val="19"/>
                <w:szCs w:val="19"/>
              </w:rPr>
              <w:t xml:space="preserve">Trump extiende el ultimátum a Irán 10 días más — dice que las negociaciones van 'muy bien'</w:t>
            </w:r>
          </w:p>
          <w:p>
            <w:r>
              <w:rPr>
                <w:rFonts w:ascii="Arial" w:cs="Arial" w:eastAsia="Arial" w:hAnsi="Arial"/>
                <w:i/>
                <w:iCs/>
                <w:color w:val="444444"/>
                <w:sz w:val="17"/>
                <w:szCs w:val="17"/>
              </w:rPr>
              <w:t xml:space="preserve">Trump anunció en Truth Social que amplía el plazo para la reapertura de Hormuz 10 días, hasta aproximadamente el 2 de abril. Teherán desmiente estar negociando. La extensión llega un día después de que Trump hubiera endurecido el ultimátum. Analistas lo interpretan como señal de que la opción militar directa ha quedado aparcada temporalmente mientras Pakistán actúa de mediador.</w:t>
            </w:r>
          </w:p>
        </w:tc>
      </w:tr>
      <w:tr>
        <w:tc>
          <w:tcPr>
            <w:tcW w:type="dxa" w:w="440"/>
            <w:tcBorders>
              <w:top w:val="single" w:color="BBBBBB" w:sz="1"/>
              <w:left w:val="single" w:color="BBBBBB" w:sz="1"/>
              <w:bottom w:val="single" w:color="BBBBBB" w:sz="1"/>
              <w:right w:val="single" w:color="BBBBBB" w:sz="1"/>
            </w:tcBorders>
            <w:shd w:fill="EAF0FB" w:val="clear"/>
            <w:tcMar>
              <w:top w:type="dxa" w:w="80"/>
              <w:left w:type="dxa" w:w="120"/>
              <w:bottom w:type="dxa" w:w="80"/>
              <w:right w:type="dxa" w:w="120"/>
            </w:tcMar>
          </w:tcPr>
          <w:p>
            <w:pPr>
              <w:jc w:val="center"/>
            </w:pPr>
            <w:r>
              <w:rPr>
                <w:rFonts w:ascii="Arial" w:cs="Arial" w:eastAsia="Arial" w:hAnsi="Arial"/>
                <w:b/>
                <w:bCs/>
                <w:color w:val="1F3A6E"/>
                <w:sz w:val="18"/>
                <w:szCs w:val="18"/>
              </w:rPr>
              <w:t xml:space="preserve">3</w:t>
            </w:r>
          </w:p>
        </w:tc>
        <w:tc>
          <w:tcPr>
            <w:tcW w:type="dxa" w:w="13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F3A6E"/>
                <w:sz w:val="16"/>
                <w:szCs w:val="16"/>
              </w:rPr>
              <w:t xml:space="preserve">CNN</w:t>
            </w:r>
          </w:p>
          <w:p>
            <w:pPr>
              <w:spacing w:before="25"/>
            </w:pPr>
            <w:r>
              <w:rPr>
                <w:rFonts w:ascii="Arial" w:cs="Arial" w:eastAsia="Arial" w:hAnsi="Arial"/>
                <w:b/>
                <w:bCs/>
                <w:color w:val="7D3C98"/>
                <w:sz w:val="14"/>
                <w:szCs w:val="14"/>
              </w:rPr>
              <w:t xml:space="preserve">Pakistan</w:t>
            </w:r>
          </w:p>
          <w:p>
            <w:pPr>
              <w:spacing w:before="25"/>
            </w:pPr>
            <w:r>
              <w:rPr>
                <w:rFonts w:ascii="Arial" w:cs="Arial" w:eastAsia="Arial" w:hAnsi="Arial"/>
                <w:i/>
                <w:iCs/>
                <w:color w:val="888888"/>
                <w:sz w:val="13"/>
                <w:szCs w:val="13"/>
              </w:rPr>
              <w:t xml:space="preserve">hace 30min</w:t>
            </w:r>
          </w:p>
        </w:tc>
        <w:tc>
          <w:tcPr>
            <w:tcW w:type="dxa" w:w="72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55"/>
            </w:pPr>
            <w:r>
              <w:rPr>
                <w:rFonts w:ascii="Arial" w:cs="Arial" w:eastAsia="Arial" w:hAnsi="Arial"/>
                <w:b/>
                <w:bCs/>
                <w:color w:val="111111"/>
                <w:sz w:val="19"/>
                <w:szCs w:val="19"/>
              </w:rPr>
              <w:t xml:space="preserve">Pakistán logra que Irán deje pasar 20 buques — dos al día en acuerdo histórico de mediación</w:t>
            </w:r>
          </w:p>
          <w:p>
            <w:r>
              <w:rPr>
                <w:rFonts w:ascii="Arial" w:cs="Arial" w:eastAsia="Arial" w:hAnsi="Arial"/>
                <w:i/>
                <w:iCs/>
                <w:color w:val="444444"/>
                <w:sz w:val="17"/>
                <w:szCs w:val="17"/>
              </w:rPr>
              <w:t xml:space="preserve">El ministro de Exteriores pakistaní Ishaq Dar confirmó que Irán permitirá el paso de 20 buques de bandera pakistaní a través del Estrecho de Hormuz, a razón de dos al día. 'Es un gesto constructivo y bienvenido. Es un augurio de paz', escribió Dar en X. Es la primera apertura selectiva negociada por un tercer país. Pakistán fue confirmado esta semana como mediador oficial entre EEUU e Irán por el enviado Witkoff.</w:t>
            </w:r>
          </w:p>
        </w:tc>
      </w:tr>
      <w:tr>
        <w:tc>
          <w:tcPr>
            <w:tcW w:type="dxa" w:w="440"/>
            <w:tcBorders>
              <w:top w:val="single" w:color="BBBBBB" w:sz="1"/>
              <w:left w:val="single" w:color="BBBBBB" w:sz="1"/>
              <w:bottom w:val="single" w:color="BBBBBB" w:sz="1"/>
              <w:right w:val="single" w:color="BBBBBB" w:sz="1"/>
            </w:tcBorders>
            <w:shd w:fill="EAF0FB" w:val="clear"/>
            <w:tcMar>
              <w:top w:type="dxa" w:w="80"/>
              <w:left w:type="dxa" w:w="120"/>
              <w:bottom w:type="dxa" w:w="80"/>
              <w:right w:type="dxa" w:w="120"/>
            </w:tcMar>
          </w:tcPr>
          <w:p>
            <w:pPr>
              <w:jc w:val="center"/>
            </w:pPr>
            <w:r>
              <w:rPr>
                <w:rFonts w:ascii="Arial" w:cs="Arial" w:eastAsia="Arial" w:hAnsi="Arial"/>
                <w:b/>
                <w:bCs/>
                <w:color w:val="1F3A6E"/>
                <w:sz w:val="18"/>
                <w:szCs w:val="18"/>
              </w:rPr>
              <w:t xml:space="preserve">4</w:t>
            </w:r>
          </w:p>
        </w:tc>
        <w:tc>
          <w:tcPr>
            <w:tcW w:type="dxa" w:w="13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F3A6E"/>
                <w:sz w:val="16"/>
                <w:szCs w:val="16"/>
              </w:rPr>
              <w:t xml:space="preserve">CBS / Kpler</w:t>
            </w:r>
          </w:p>
          <w:p>
            <w:pPr>
              <w:spacing w:before="25"/>
            </w:pPr>
            <w:r>
              <w:rPr>
                <w:rFonts w:ascii="Arial" w:cs="Arial" w:eastAsia="Arial" w:hAnsi="Arial"/>
                <w:b/>
                <w:bCs/>
                <w:color w:val="D68910"/>
                <w:sz w:val="14"/>
                <w:szCs w:val="14"/>
              </w:rPr>
              <w:t xml:space="preserve">Hormuz</w:t>
            </w:r>
          </w:p>
          <w:p>
            <w:pPr>
              <w:spacing w:before="25"/>
            </w:pPr>
            <w:r>
              <w:rPr>
                <w:rFonts w:ascii="Arial" w:cs="Arial" w:eastAsia="Arial" w:hAnsi="Arial"/>
                <w:i/>
                <w:iCs/>
                <w:color w:val="888888"/>
                <w:sz w:val="13"/>
                <w:szCs w:val="13"/>
              </w:rPr>
              <w:t xml:space="preserve">hace 12h</w:t>
            </w:r>
          </w:p>
        </w:tc>
        <w:tc>
          <w:tcPr>
            <w:tcW w:type="dxa" w:w="72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55"/>
            </w:pPr>
            <w:r>
              <w:rPr>
                <w:rFonts w:ascii="Arial" w:cs="Arial" w:eastAsia="Arial" w:hAnsi="Arial"/>
                <w:b/>
                <w:bCs/>
                <w:color w:val="111111"/>
                <w:sz w:val="19"/>
                <w:szCs w:val="19"/>
              </w:rPr>
              <w:t xml:space="preserve">El Estrecho de Hormuz lleva 29 días cerrado — solo reabrirá cuando acabe la guerra, dicen aseguradoras</w:t>
            </w:r>
          </w:p>
          <w:p>
            <w:r>
              <w:rPr>
                <w:rFonts w:ascii="Arial" w:cs="Arial" w:eastAsia="Arial" w:hAnsi="Arial"/>
                <w:i/>
                <w:iCs/>
                <w:color w:val="444444"/>
                <w:sz w:val="17"/>
                <w:szCs w:val="17"/>
              </w:rPr>
              <w:t xml:space="preserve">Los tránsitos han caído entre el 90% y el 95% desde el inicio del conflicto según Kpler. Cientos de petroleros están atrapados en el Golfo Pérsico. 20.000 marineros permanecen varados. Las aseguradoras advierten que las primas — ahora al 3,5% del valor del buque — no bajarán hasta que haya un alto el fuego formal. Rubio dijo que los convoyes navales serán una 'necesidad post-conflicto', no una solución inmediata.</w:t>
            </w:r>
          </w:p>
        </w:tc>
      </w:tr>
      <w:tr>
        <w:tc>
          <w:tcPr>
            <w:tcW w:type="dxa" w:w="440"/>
            <w:tcBorders>
              <w:top w:val="single" w:color="BBBBBB" w:sz="1"/>
              <w:left w:val="single" w:color="BBBBBB" w:sz="1"/>
              <w:bottom w:val="single" w:color="BBBBBB" w:sz="1"/>
              <w:right w:val="single" w:color="BBBBBB" w:sz="1"/>
            </w:tcBorders>
            <w:shd w:fill="EAF0FB" w:val="clear"/>
            <w:tcMar>
              <w:top w:type="dxa" w:w="80"/>
              <w:left w:type="dxa" w:w="120"/>
              <w:bottom w:type="dxa" w:w="80"/>
              <w:right w:type="dxa" w:w="120"/>
            </w:tcMar>
          </w:tcPr>
          <w:p>
            <w:pPr>
              <w:jc w:val="center"/>
            </w:pPr>
            <w:r>
              <w:rPr>
                <w:rFonts w:ascii="Arial" w:cs="Arial" w:eastAsia="Arial" w:hAnsi="Arial"/>
                <w:b/>
                <w:bCs/>
                <w:color w:val="1F3A6E"/>
                <w:sz w:val="18"/>
                <w:szCs w:val="18"/>
              </w:rPr>
              <w:t xml:space="preserve">5</w:t>
            </w:r>
          </w:p>
        </w:tc>
        <w:tc>
          <w:tcPr>
            <w:tcW w:type="dxa" w:w="13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F3A6E"/>
                <w:sz w:val="16"/>
                <w:szCs w:val="16"/>
              </w:rPr>
              <w:t xml:space="preserve">CNBC</w:t>
            </w:r>
          </w:p>
          <w:p>
            <w:pPr>
              <w:spacing w:before="25"/>
            </w:pPr>
            <w:r>
              <w:rPr>
                <w:rFonts w:ascii="Arial" w:cs="Arial" w:eastAsia="Arial" w:hAnsi="Arial"/>
                <w:b/>
                <w:bCs/>
                <w:color w:val="D68910"/>
                <w:sz w:val="14"/>
                <w:szCs w:val="14"/>
              </w:rPr>
              <w:t xml:space="preserve">Hormuz</w:t>
            </w:r>
          </w:p>
          <w:p>
            <w:pPr>
              <w:spacing w:before="25"/>
            </w:pPr>
            <w:r>
              <w:rPr>
                <w:rFonts w:ascii="Arial" w:cs="Arial" w:eastAsia="Arial" w:hAnsi="Arial"/>
                <w:i/>
                <w:iCs/>
                <w:color w:val="888888"/>
                <w:sz w:val="13"/>
                <w:szCs w:val="13"/>
              </w:rPr>
              <w:t xml:space="preserve">hace 11h</w:t>
            </w:r>
          </w:p>
        </w:tc>
        <w:tc>
          <w:tcPr>
            <w:tcW w:type="dxa" w:w="72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55"/>
            </w:pPr>
            <w:r>
              <w:rPr>
                <w:rFonts w:ascii="Arial" w:cs="Arial" w:eastAsia="Arial" w:hAnsi="Arial"/>
                <w:b/>
                <w:bCs/>
                <w:color w:val="111111"/>
                <w:sz w:val="19"/>
                <w:szCs w:val="19"/>
              </w:rPr>
              <w:t xml:space="preserve">Los ejecutivos petroleros: si Hormuz no reabre antes del 15 de abril, el shock energético se duplicará</w:t>
            </w:r>
          </w:p>
          <w:p>
            <w:r>
              <w:rPr>
                <w:rFonts w:ascii="Arial" w:cs="Arial" w:eastAsia="Arial" w:hAnsi="Arial"/>
                <w:i/>
                <w:iCs/>
                <w:color w:val="444444"/>
                <w:sz w:val="17"/>
                <w:szCs w:val="17"/>
              </w:rPr>
              <w:t xml:space="preserve">BCA Research calcula que el mundo ha perdido 4,5-5 millones de barriles diarios por la guerra (5% del suministro global). Ese número se doblará en torno al 19 de abril, convirtiéndose en la mayor pérdida de suministro de crudo de la historia. Goldman Sachs prevé precios elevados hasta 2027. EEUU libera 400 millones de barriles de reservas estratégicas — el mayor lanzamiento de la historia — y levantó temporalmente sanciones sobre petróleo ruso e iraní.</w:t>
            </w:r>
          </w:p>
        </w:tc>
      </w:tr>
      <w:tr>
        <w:tc>
          <w:tcPr>
            <w:tcW w:type="dxa" w:w="440"/>
            <w:tcBorders>
              <w:top w:val="single" w:color="BBBBBB" w:sz="1"/>
              <w:left w:val="single" w:color="BBBBBB" w:sz="1"/>
              <w:bottom w:val="single" w:color="BBBBBB" w:sz="1"/>
              <w:right w:val="single" w:color="BBBBBB" w:sz="1"/>
            </w:tcBorders>
            <w:shd w:fill="EAF0FB" w:val="clear"/>
            <w:tcMar>
              <w:top w:type="dxa" w:w="80"/>
              <w:left w:type="dxa" w:w="120"/>
              <w:bottom w:type="dxa" w:w="80"/>
              <w:right w:type="dxa" w:w="120"/>
            </w:tcMar>
          </w:tcPr>
          <w:p>
            <w:pPr>
              <w:jc w:val="center"/>
            </w:pPr>
            <w:r>
              <w:rPr>
                <w:rFonts w:ascii="Arial" w:cs="Arial" w:eastAsia="Arial" w:hAnsi="Arial"/>
                <w:b/>
                <w:bCs/>
                <w:color w:val="1F3A6E"/>
                <w:sz w:val="18"/>
                <w:szCs w:val="18"/>
              </w:rPr>
              <w:t xml:space="preserve">6</w:t>
            </w:r>
          </w:p>
        </w:tc>
        <w:tc>
          <w:tcPr>
            <w:tcW w:type="dxa" w:w="13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F3A6E"/>
                <w:sz w:val="16"/>
                <w:szCs w:val="16"/>
              </w:rPr>
              <w:t xml:space="preserve">Al Jazeera / Lloyd's List</w:t>
            </w:r>
          </w:p>
          <w:p>
            <w:pPr>
              <w:spacing w:before="25"/>
            </w:pPr>
            <w:r>
              <w:rPr>
                <w:rFonts w:ascii="Arial" w:cs="Arial" w:eastAsia="Arial" w:hAnsi="Arial"/>
                <w:b/>
                <w:bCs/>
                <w:color w:val="D68910"/>
                <w:sz w:val="14"/>
                <w:szCs w:val="14"/>
              </w:rPr>
              <w:t xml:space="preserve">Hormuz</w:t>
            </w:r>
          </w:p>
          <w:p>
            <w:pPr>
              <w:spacing w:before="25"/>
            </w:pPr>
            <w:r>
              <w:rPr>
                <w:rFonts w:ascii="Arial" w:cs="Arial" w:eastAsia="Arial" w:hAnsi="Arial"/>
                <w:i/>
                <w:iCs/>
                <w:color w:val="888888"/>
                <w:sz w:val="13"/>
                <w:szCs w:val="13"/>
              </w:rPr>
              <w:t xml:space="preserve">hace 2 días</w:t>
            </w:r>
          </w:p>
        </w:tc>
        <w:tc>
          <w:tcPr>
            <w:tcW w:type="dxa" w:w="72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55"/>
            </w:pPr>
            <w:r>
              <w:rPr>
                <w:rFonts w:ascii="Arial" w:cs="Arial" w:eastAsia="Arial" w:hAnsi="Arial"/>
                <w:b/>
                <w:bCs/>
                <w:color w:val="111111"/>
                <w:sz w:val="19"/>
                <w:szCs w:val="19"/>
              </w:rPr>
              <w:t xml:space="preserve">El 'peaje iraní': 26 buques ya transitaron bajo el sistema de vetting del IRGC — pagaron en yuanes</w:t>
            </w:r>
          </w:p>
          <w:p>
            <w:r>
              <w:rPr>
                <w:rFonts w:ascii="Arial" w:cs="Arial" w:eastAsia="Arial" w:hAnsi="Arial"/>
                <w:i/>
                <w:iCs/>
                <w:color w:val="444444"/>
                <w:sz w:val="17"/>
                <w:szCs w:val="17"/>
              </w:rPr>
              <w:t xml:space="preserve">Lloyd's List confirma que 26 buques han seguido la ruta preaprobada por el IRGC. Al menos dos pagaron millones de dólares en yuanes chinos, intermediados por empresas marítimas chinas. China, India, Malasia, Corea del Sur y Egipto han negociado el paso de sus buques directamente con Teherán. El sistema transforma el Estrecho en un instrumento de política exterior iraní duradera.</w:t>
            </w:r>
          </w:p>
        </w:tc>
      </w:tr>
      <w:tr>
        <w:tc>
          <w:tcPr>
            <w:tcW w:type="dxa" w:w="440"/>
            <w:tcBorders>
              <w:top w:val="single" w:color="BBBBBB" w:sz="1"/>
              <w:left w:val="single" w:color="BBBBBB" w:sz="1"/>
              <w:bottom w:val="single" w:color="BBBBBB" w:sz="1"/>
              <w:right w:val="single" w:color="BBBBBB" w:sz="1"/>
            </w:tcBorders>
            <w:shd w:fill="EAF0FB" w:val="clear"/>
            <w:tcMar>
              <w:top w:type="dxa" w:w="80"/>
              <w:left w:type="dxa" w:w="120"/>
              <w:bottom w:type="dxa" w:w="80"/>
              <w:right w:type="dxa" w:w="120"/>
            </w:tcMar>
          </w:tcPr>
          <w:p>
            <w:pPr>
              <w:jc w:val="center"/>
            </w:pPr>
            <w:r>
              <w:rPr>
                <w:rFonts w:ascii="Arial" w:cs="Arial" w:eastAsia="Arial" w:hAnsi="Arial"/>
                <w:b/>
                <w:bCs/>
                <w:color w:val="1F3A6E"/>
                <w:sz w:val="18"/>
                <w:szCs w:val="18"/>
              </w:rPr>
              <w:t xml:space="preserve">7</w:t>
            </w:r>
          </w:p>
        </w:tc>
        <w:tc>
          <w:tcPr>
            <w:tcW w:type="dxa" w:w="13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F3A6E"/>
                <w:sz w:val="16"/>
                <w:szCs w:val="16"/>
              </w:rPr>
              <w:t xml:space="preserve">CNN / IDF</w:t>
            </w:r>
          </w:p>
          <w:p>
            <w:pPr>
              <w:spacing w:before="25"/>
            </w:pPr>
            <w:r>
              <w:rPr>
                <w:rFonts w:ascii="Arial" w:cs="Arial" w:eastAsia="Arial" w:hAnsi="Arial"/>
                <w:b/>
                <w:bCs/>
                <w:color w:val="1F3A6E"/>
                <w:sz w:val="14"/>
                <w:szCs w:val="14"/>
              </w:rPr>
              <w:t xml:space="preserve">Israel</w:t>
            </w:r>
          </w:p>
          <w:p>
            <w:pPr>
              <w:spacing w:before="25"/>
            </w:pPr>
            <w:r>
              <w:rPr>
                <w:rFonts w:ascii="Arial" w:cs="Arial" w:eastAsia="Arial" w:hAnsi="Arial"/>
                <w:i/>
                <w:iCs/>
                <w:color w:val="888888"/>
                <w:sz w:val="13"/>
                <w:szCs w:val="13"/>
              </w:rPr>
              <w:t xml:space="preserve">hace 2h</w:t>
            </w:r>
          </w:p>
        </w:tc>
        <w:tc>
          <w:tcPr>
            <w:tcW w:type="dxa" w:w="72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55"/>
            </w:pPr>
            <w:r>
              <w:rPr>
                <w:rFonts w:ascii="Arial" w:cs="Arial" w:eastAsia="Arial" w:hAnsi="Arial"/>
                <w:b/>
                <w:bCs/>
                <w:color w:val="111111"/>
                <w:sz w:val="19"/>
                <w:szCs w:val="19"/>
              </w:rPr>
              <w:t xml:space="preserve">Israel intensifica ataques sobre Irán — Katz: 'Los bombardeos se expandirán y endurecerán'</w:t>
            </w:r>
          </w:p>
          <w:p>
            <w:r>
              <w:rPr>
                <w:rFonts w:ascii="Arial" w:cs="Arial" w:eastAsia="Arial" w:hAnsi="Arial"/>
                <w:i/>
                <w:iCs/>
                <w:color w:val="444444"/>
                <w:sz w:val="17"/>
                <w:szCs w:val="17"/>
              </w:rPr>
              <w:t xml:space="preserve">El ministro de Defensa israelí Katz anunció hoy que los ataques sobre Irán 'se intensificarán y expandirán' porque Teherán no ha parado de disparar misiles contra la población civil israelí. Los Houthis de Yemen entraron hoy en el conflicto lanzando un misil contra Israel desde Yemen. Bombardeos israelíes intensos sobre Teherán durante la noche del sábado: explosiones confirmadas en zonas del noreste, oeste, centro y este de la capital. Más de 3.000 muertos en Oriente Medio desde el inicio del conflicto.</w:t>
            </w:r>
          </w:p>
        </w:tc>
      </w:tr>
      <w:tr>
        <w:tc>
          <w:tcPr>
            <w:tcW w:type="dxa" w:w="440"/>
            <w:tcBorders>
              <w:top w:val="single" w:color="BBBBBB" w:sz="1"/>
              <w:left w:val="single" w:color="BBBBBB" w:sz="1"/>
              <w:bottom w:val="single" w:color="BBBBBB" w:sz="1"/>
              <w:right w:val="single" w:color="BBBBBB" w:sz="1"/>
            </w:tcBorders>
            <w:shd w:fill="EAF0FB" w:val="clear"/>
            <w:tcMar>
              <w:top w:type="dxa" w:w="80"/>
              <w:left w:type="dxa" w:w="120"/>
              <w:bottom w:type="dxa" w:w="80"/>
              <w:right w:type="dxa" w:w="120"/>
            </w:tcMar>
          </w:tcPr>
          <w:p>
            <w:pPr>
              <w:jc w:val="center"/>
            </w:pPr>
            <w:r>
              <w:rPr>
                <w:rFonts w:ascii="Arial" w:cs="Arial" w:eastAsia="Arial" w:hAnsi="Arial"/>
                <w:b/>
                <w:bCs/>
                <w:color w:val="1F3A6E"/>
                <w:sz w:val="18"/>
                <w:szCs w:val="18"/>
              </w:rPr>
              <w:t xml:space="preserve">8</w:t>
            </w:r>
          </w:p>
        </w:tc>
        <w:tc>
          <w:tcPr>
            <w:tcW w:type="dxa" w:w="138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1F3A6E"/>
                <w:sz w:val="16"/>
                <w:szCs w:val="16"/>
              </w:rPr>
              <w:t xml:space="preserve">CBS / UKMTO</w:t>
            </w:r>
          </w:p>
          <w:p>
            <w:pPr>
              <w:spacing w:before="25"/>
            </w:pPr>
            <w:r>
              <w:rPr>
                <w:rFonts w:ascii="Arial" w:cs="Arial" w:eastAsia="Arial" w:hAnsi="Arial"/>
                <w:b/>
                <w:bCs/>
                <w:color w:val="D68910"/>
                <w:sz w:val="14"/>
                <w:szCs w:val="14"/>
              </w:rPr>
              <w:t xml:space="preserve">Hormuz</w:t>
            </w:r>
          </w:p>
          <w:p>
            <w:pPr>
              <w:spacing w:before="25"/>
            </w:pPr>
            <w:r>
              <w:rPr>
                <w:rFonts w:ascii="Arial" w:cs="Arial" w:eastAsia="Arial" w:hAnsi="Arial"/>
                <w:i/>
                <w:iCs/>
                <w:color w:val="888888"/>
                <w:sz w:val="13"/>
                <w:szCs w:val="13"/>
              </w:rPr>
              <w:t xml:space="preserve">hace 20h</w:t>
            </w:r>
          </w:p>
        </w:tc>
        <w:tc>
          <w:tcPr>
            <w:tcW w:type="dxa" w:w="720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55"/>
            </w:pPr>
            <w:r>
              <w:rPr>
                <w:rFonts w:ascii="Arial" w:cs="Arial" w:eastAsia="Arial" w:hAnsi="Arial"/>
                <w:b/>
                <w:bCs/>
                <w:color w:val="111111"/>
                <w:sz w:val="19"/>
                <w:szCs w:val="19"/>
              </w:rPr>
              <w:t xml:space="preserve">20.000 marineros atrapados en el Golfo — 'No dormimos. Contamos misiles sobre nuestras cabezas'</w:t>
            </w:r>
          </w:p>
          <w:p>
            <w:r>
              <w:rPr>
                <w:rFonts w:ascii="Arial" w:cs="Arial" w:eastAsia="Arial" w:hAnsi="Arial"/>
                <w:i/>
                <w:iCs/>
                <w:color w:val="444444"/>
                <w:sz w:val="17"/>
                <w:szCs w:val="17"/>
              </w:rPr>
              <w:t xml:space="preserve">La OIM confirma 18 incidentes contra buques comerciales entre el 1 y el 19 de marzo. Un marinero indio relató: 'Pasé casi media hora contando explosiones, más de una docena'. El buque tailandés Mayuree Naree fue atacado el 11 de marzo y encalló en la isla iraní de Qeshm con 3 desaparecidos. Siete marineros han muerto. Mientras en tierra 130 buques transitan normalmente Hormuz cada día, hoy pasan 9.</w:t>
            </w:r>
          </w:p>
        </w:tc>
      </w:tr>
    </w:tbl>
    <w:p>
      <w:pPr>
        <w:spacing w:before="60" w:after="60"/>
      </w:pPr>
      <w:r>
        <w:t xml:space="preserve"/>
      </w:r>
    </w:p>
    <w:p>
      <w:pPr>
        <w:pStyle w:val="Heading1"/>
        <w:pBdr>
          <w:bottom w:val="single" w:color="1F3A6E" w:sz="6" w:space="1"/>
        </w:pBdr>
        <w:spacing w:before="320" w:after="120"/>
      </w:pPr>
      <w:r>
        <w:rPr>
          <w:rFonts w:ascii="Arial" w:cs="Arial" w:eastAsia="Arial" w:hAnsi="Arial"/>
          <w:b/>
          <w:bCs/>
          <w:color w:val="1F3A6E"/>
          <w:sz w:val="28"/>
          <w:szCs w:val="28"/>
        </w:rPr>
        <w:t xml:space="preserve">3. Escenarios · probabilidad 28 mar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
        <w:gridCol w:w="780"/>
        <w:gridCol w:w="3000"/>
        <w:gridCol w:w="960"/>
        <w:gridCol w:w="3846"/>
      </w:tblGrid>
      <w:tr>
        <w:tc>
          <w:tcPr>
            <w:tcW w:type="dxa" w:w="440"/>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pPr>
              <w:jc w:val="left"/>
            </w:pPr>
            <w:r>
              <w:rPr>
                <w:rFonts w:ascii="Arial" w:cs="Arial" w:eastAsia="Arial" w:hAnsi="Arial"/>
                <w:b/>
                <w:bCs/>
                <w:color w:val="FFFFFF"/>
                <w:sz w:val="17"/>
                <w:szCs w:val="17"/>
              </w:rPr>
              <w:t xml:space="preserve"/>
            </w:r>
          </w:p>
        </w:tc>
        <w:tc>
          <w:tcPr>
            <w:tcW w:type="dxa" w:w="780"/>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pPr>
              <w:jc w:val="left"/>
            </w:pPr>
            <w:r>
              <w:rPr>
                <w:rFonts w:ascii="Arial" w:cs="Arial" w:eastAsia="Arial" w:hAnsi="Arial"/>
                <w:b/>
                <w:bCs/>
                <w:color w:val="FFFFFF"/>
                <w:sz w:val="17"/>
                <w:szCs w:val="17"/>
              </w:rPr>
              <w:t xml:space="preserve">Código</w:t>
            </w:r>
          </w:p>
        </w:tc>
        <w:tc>
          <w:tcPr>
            <w:tcW w:type="dxa" w:w="3000"/>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pPr>
              <w:jc w:val="left"/>
            </w:pPr>
            <w:r>
              <w:rPr>
                <w:rFonts w:ascii="Arial" w:cs="Arial" w:eastAsia="Arial" w:hAnsi="Arial"/>
                <w:b/>
                <w:bCs/>
                <w:color w:val="FFFFFF"/>
                <w:sz w:val="17"/>
                <w:szCs w:val="17"/>
              </w:rPr>
              <w:t xml:space="preserve">Escenario</w:t>
            </w:r>
          </w:p>
        </w:tc>
        <w:tc>
          <w:tcPr>
            <w:tcW w:type="dxa" w:w="960"/>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pPr>
              <w:jc w:val="left"/>
            </w:pPr>
            <w:r>
              <w:rPr>
                <w:rFonts w:ascii="Arial" w:cs="Arial" w:eastAsia="Arial" w:hAnsi="Arial"/>
                <w:b/>
                <w:bCs/>
                <w:color w:val="FFFFFF"/>
                <w:sz w:val="17"/>
                <w:szCs w:val="17"/>
              </w:rPr>
              <w:t xml:space="preserve">Prob.</w:t>
            </w:r>
          </w:p>
        </w:tc>
        <w:tc>
          <w:tcPr>
            <w:tcW w:type="dxa" w:w="3846"/>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pPr>
              <w:jc w:val="left"/>
            </w:pPr>
            <w:r>
              <w:rPr>
                <w:rFonts w:ascii="Arial" w:cs="Arial" w:eastAsia="Arial" w:hAnsi="Arial"/>
                <w:b/>
                <w:bCs/>
                <w:color w:val="FFFFFF"/>
                <w:sz w:val="17"/>
                <w:szCs w:val="17"/>
              </w:rPr>
              <w:t xml:space="preserve">Descripción</w:t>
            </w:r>
          </w:p>
        </w:tc>
      </w:tr>
      <w:tr>
        <w:tc>
          <w:tcPr>
            <w:tcW w:type="dxa" w:w="440"/>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tcPr>
          <w:p>
            <w:pPr>
              <w:jc w:val="center"/>
            </w:pPr>
            <w:r>
              <w:rPr>
                <w:rFonts w:ascii="Arial" w:cs="Arial" w:eastAsia="Arial" w:hAnsi="Arial"/>
                <w:b/>
                <w:bCs/>
                <w:color w:val="D68910"/>
                <w:sz w:val="20"/>
                <w:szCs w:val="20"/>
              </w:rPr>
              <w:t xml:space="preserve">▶</w:t>
            </w:r>
          </w:p>
        </w:tc>
        <w:tc>
          <w:tcPr>
            <w:tcW w:type="dxa" w:w="7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color w:val="666666"/>
                <w:sz w:val="16"/>
                <w:szCs w:val="16"/>
              </w:rPr>
              <w:t xml:space="preserve">ESC 02</w:t>
            </w:r>
          </w:p>
        </w:tc>
        <w:tc>
          <w:tcPr>
            <w:tcW w:type="dxa" w:w="3000"/>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tcPr>
          <w:p>
            <w:r>
              <w:rPr>
                <w:rFonts w:ascii="Arial" w:cs="Arial" w:eastAsia="Arial" w:hAnsi="Arial"/>
                <w:b/>
                <w:bCs/>
                <w:color w:val="D68910"/>
                <w:sz w:val="20"/>
                <w:szCs w:val="20"/>
              </w:rPr>
              <w:t xml:space="preserve">Tensión con impacto acotado</w:t>
            </w:r>
          </w:p>
        </w:tc>
        <w:tc>
          <w:tcPr>
            <w:tcW w:type="dxa" w:w="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color w:val="D68910"/>
                <w:sz w:val="22"/>
                <w:szCs w:val="22"/>
              </w:rPr>
              <w:t xml:space="preserve">40%</w:t>
            </w:r>
          </w:p>
        </w:tc>
        <w:tc>
          <w:tcPr>
            <w:tcW w:type="dxa" w:w="384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555555"/>
                <w:sz w:val="17"/>
                <w:szCs w:val="17"/>
              </w:rPr>
              <w:t xml:space="preserve">Pakistán como mediador avanza. Hormuz reabre parcialmente antes del 2 de abril. Brent cae hacia $90. Extensión del ultimátum da tiempo a la diplomacia.</w:t>
            </w:r>
          </w:p>
        </w:tc>
      </w:tr>
      <w:tr>
        <w:tc>
          <w:tcPr>
            <w:tcW w:type="dxa" w:w="44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jc w:val="center"/>
            </w:pPr>
            <w:r>
              <w:rPr>
                <w:rFonts w:ascii="Arial" w:cs="Arial" w:eastAsia="Arial" w:hAnsi="Arial"/>
                <w:b/>
                <w:bCs/>
                <w:color w:val="D68910"/>
                <w:sz w:val="20"/>
                <w:szCs w:val="20"/>
              </w:rPr>
              <w:t xml:space="preserve"/>
            </w:r>
          </w:p>
        </w:tc>
        <w:tc>
          <w:tcPr>
            <w:tcW w:type="dxa" w:w="7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color w:val="666666"/>
                <w:sz w:val="16"/>
                <w:szCs w:val="16"/>
              </w:rPr>
              <w:t xml:space="preserve">ESC 03</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Crisis energética regional</w:t>
            </w:r>
          </w:p>
        </w:tc>
        <w:tc>
          <w:tcPr>
            <w:tcW w:type="dxa" w:w="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color w:val="C0392B"/>
                <w:sz w:val="22"/>
                <w:szCs w:val="22"/>
              </w:rPr>
              <w:t xml:space="preserve">35%</w:t>
            </w:r>
          </w:p>
        </w:tc>
        <w:tc>
          <w:tcPr>
            <w:tcW w:type="dxa" w:w="384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555555"/>
                <w:sz w:val="17"/>
                <w:szCs w:val="17"/>
              </w:rPr>
              <w:t xml:space="preserve">Prórroga fracasa. EEUU ataca infraestructura iraní. Irán cobra peajes formalmente y ataca buques 'no amigos'. Brent &gt; $130.</w:t>
            </w:r>
          </w:p>
        </w:tc>
      </w:tr>
      <w:tr>
        <w:tc>
          <w:tcPr>
            <w:tcW w:type="dxa" w:w="44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jc w:val="center"/>
            </w:pPr>
            <w:r>
              <w:rPr>
                <w:rFonts w:ascii="Arial" w:cs="Arial" w:eastAsia="Arial" w:hAnsi="Arial"/>
                <w:b/>
                <w:bCs/>
                <w:color w:val="D68910"/>
                <w:sz w:val="20"/>
                <w:szCs w:val="20"/>
              </w:rPr>
              <w:t xml:space="preserve"/>
            </w:r>
          </w:p>
        </w:tc>
        <w:tc>
          <w:tcPr>
            <w:tcW w:type="dxa" w:w="7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color w:val="666666"/>
                <w:sz w:val="16"/>
                <w:szCs w:val="16"/>
              </w:rPr>
              <w:t xml:space="preserve">ESC 04</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Colapso sistémico</w:t>
            </w:r>
          </w:p>
        </w:tc>
        <w:tc>
          <w:tcPr>
            <w:tcW w:type="dxa" w:w="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color w:val="1F3A6E"/>
                <w:sz w:val="22"/>
                <w:szCs w:val="22"/>
              </w:rPr>
              <w:t xml:space="preserve">15%</w:t>
            </w:r>
          </w:p>
        </w:tc>
        <w:tc>
          <w:tcPr>
            <w:tcW w:type="dxa" w:w="384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555555"/>
                <w:sz w:val="17"/>
                <w:szCs w:val="17"/>
              </w:rPr>
              <w:t xml:space="preserve">Irán formaliza soberanía sobre Hormuz. Israel intensifica ataques. Saudí Arabia e Iraq entran en el conflicto. Shock energético global.</w:t>
            </w:r>
          </w:p>
        </w:tc>
      </w:tr>
      <w:tr>
        <w:tc>
          <w:tcPr>
            <w:tcW w:type="dxa" w:w="44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jc w:val="center"/>
            </w:pPr>
            <w:r>
              <w:rPr>
                <w:rFonts w:ascii="Arial" w:cs="Arial" w:eastAsia="Arial" w:hAnsi="Arial"/>
                <w:b/>
                <w:bCs/>
                <w:color w:val="D68910"/>
                <w:sz w:val="20"/>
                <w:szCs w:val="20"/>
              </w:rPr>
              <w:t xml:space="preserve"/>
            </w:r>
          </w:p>
        </w:tc>
        <w:tc>
          <w:tcPr>
            <w:tcW w:type="dxa" w:w="78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color w:val="666666"/>
                <w:sz w:val="16"/>
                <w:szCs w:val="16"/>
              </w:rPr>
              <w:t xml:space="preserve">ESC 01</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Ruido sin consecuencias</w:t>
            </w:r>
          </w:p>
        </w:tc>
        <w:tc>
          <w:tcPr>
            <w:tcW w:type="dxa" w:w="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Arial" w:cs="Arial" w:eastAsia="Arial" w:hAnsi="Arial"/>
                <w:b/>
                <w:bCs/>
                <w:color w:val="1E8449"/>
                <w:sz w:val="22"/>
                <w:szCs w:val="22"/>
              </w:rPr>
              <w:t xml:space="preserve">10%</w:t>
            </w:r>
          </w:p>
        </w:tc>
        <w:tc>
          <w:tcPr>
            <w:tcW w:type="dxa" w:w="384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555555"/>
                <w:sz w:val="17"/>
                <w:szCs w:val="17"/>
              </w:rPr>
              <w:t xml:space="preserve">Acuerdo rápido vía Pakistán. Hormuz reabre completamente en 72h. Brent cae a $80.</w:t>
            </w:r>
          </w:p>
        </w:tc>
      </w:tr>
    </w:tbl>
    <w:p>
      <w:pPr>
        <w:spacing w:before="60" w:after="60"/>
      </w:pPr>
      <w:r>
        <w:t xml:space="preserve"/>
      </w:r>
    </w:p>
    <w:p>
      <w:pPr>
        <w:pStyle w:val="Heading1"/>
        <w:pBdr>
          <w:bottom w:val="single" w:color="1F3A6E" w:sz="6" w:space="1"/>
        </w:pBdr>
        <w:spacing w:before="320" w:after="120"/>
      </w:pPr>
      <w:r>
        <w:rPr>
          <w:rFonts w:ascii="Arial" w:cs="Arial" w:eastAsia="Arial" w:hAnsi="Arial"/>
          <w:b/>
          <w:bCs/>
          <w:color w:val="1F3A6E"/>
          <w:sz w:val="28"/>
          <w:szCs w:val="28"/>
        </w:rPr>
        <w:t xml:space="preserve">4. Panel de indicadores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900"/>
        <w:gridCol w:w="1200"/>
        <w:gridCol w:w="3326"/>
      </w:tblGrid>
      <w:tr>
        <w:tc>
          <w:tcPr>
            <w:tcW w:type="dxa" w:w="2100"/>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pPr>
              <w:jc w:val="left"/>
            </w:pPr>
            <w:r>
              <w:rPr>
                <w:rFonts w:ascii="Arial" w:cs="Arial" w:eastAsia="Arial" w:hAnsi="Arial"/>
                <w:b/>
                <w:bCs/>
                <w:color w:val="FFFFFF"/>
                <w:sz w:val="17"/>
                <w:szCs w:val="17"/>
              </w:rPr>
              <w:t xml:space="preserve">Indicador</w:t>
            </w:r>
          </w:p>
        </w:tc>
        <w:tc>
          <w:tcPr>
            <w:tcW w:type="dxa" w:w="1500"/>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pPr>
              <w:jc w:val="left"/>
            </w:pPr>
            <w:r>
              <w:rPr>
                <w:rFonts w:ascii="Arial" w:cs="Arial" w:eastAsia="Arial" w:hAnsi="Arial"/>
                <w:b/>
                <w:bCs/>
                <w:color w:val="FFFFFF"/>
                <w:sz w:val="17"/>
                <w:szCs w:val="17"/>
              </w:rPr>
              <w:t xml:space="preserve">Valor</w:t>
            </w:r>
          </w:p>
        </w:tc>
        <w:tc>
          <w:tcPr>
            <w:tcW w:type="dxa" w:w="900"/>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pPr>
              <w:jc w:val="left"/>
            </w:pPr>
            <w:r>
              <w:rPr>
                <w:rFonts w:ascii="Arial" w:cs="Arial" w:eastAsia="Arial" w:hAnsi="Arial"/>
                <w:b/>
                <w:bCs/>
                <w:color w:val="FFFFFF"/>
                <w:sz w:val="17"/>
                <w:szCs w:val="17"/>
              </w:rPr>
              <w:t xml:space="preserve">Var.</w:t>
            </w:r>
          </w:p>
        </w:tc>
        <w:tc>
          <w:tcPr>
            <w:tcW w:type="dxa" w:w="1200"/>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pPr>
              <w:jc w:val="left"/>
            </w:pPr>
            <w:r>
              <w:rPr>
                <w:rFonts w:ascii="Arial" w:cs="Arial" w:eastAsia="Arial" w:hAnsi="Arial"/>
                <w:b/>
                <w:bCs/>
                <w:color w:val="FFFFFF"/>
                <w:sz w:val="17"/>
                <w:szCs w:val="17"/>
              </w:rPr>
              <w:t xml:space="preserve">Estado</w:t>
            </w:r>
          </w:p>
        </w:tc>
        <w:tc>
          <w:tcPr>
            <w:tcW w:type="dxa" w:w="3326"/>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pPr>
              <w:jc w:val="left"/>
            </w:pPr>
            <w:r>
              <w:rPr>
                <w:rFonts w:ascii="Arial" w:cs="Arial" w:eastAsia="Arial" w:hAnsi="Arial"/>
                <w:b/>
                <w:bCs/>
                <w:color w:val="FFFFFF"/>
                <w:sz w:val="17"/>
                <w:szCs w:val="17"/>
              </w:rPr>
              <w:t xml:space="preserve">Lectura</w:t>
            </w:r>
          </w:p>
        </w:tc>
      </w:tr>
      <w:tr>
        <w:tc>
          <w:tcPr>
            <w:tcW w:type="dxa" w:w="9026"/>
            <w:gridSpan w:val="5"/>
            <w:tcBorders>
              <w:top w:val="single" w:color="BBBBBB" w:sz="1"/>
              <w:left w:val="single" w:color="BBBBBB" w:sz="1"/>
              <w:bottom w:val="single" w:color="BBBBBB" w:sz="1"/>
              <w:right w:val="single" w:color="BBBBBB" w:sz="1"/>
            </w:tcBorders>
            <w:shd w:fill="EAF0FB" w:val="clear"/>
            <w:tcMar>
              <w:top w:type="dxa" w:w="55"/>
              <w:left w:type="dxa" w:w="120"/>
              <w:bottom w:type="dxa" w:w="55"/>
              <w:right w:type="dxa" w:w="120"/>
            </w:tcMar>
          </w:tcPr>
          <w:p>
            <w:r>
              <w:rPr>
                <w:rFonts w:ascii="Arial" w:cs="Arial" w:eastAsia="Arial" w:hAnsi="Arial"/>
                <w:b/>
                <w:bCs/>
                <w:color w:val="1F3A6E"/>
                <w:sz w:val="17"/>
                <w:szCs w:val="17"/>
              </w:rPr>
              <w:t xml:space="preserve">SEGURIDAD ENERGÉTICA</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222222"/>
                <w:sz w:val="19"/>
                <w:szCs w:val="19"/>
              </w:rPr>
              <w:t xml:space="preserve">Brent crude</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rFonts w:ascii="Courier New" w:cs="Courier New" w:eastAsia="Courier New" w:hAnsi="Courier New"/>
                <w:b/>
                <w:bCs/>
                <w:color w:val="111111"/>
                <w:sz w:val="18"/>
                <w:szCs w:val="18"/>
              </w:rPr>
              <w:t xml:space="preserve">$113/bbl</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Courier New" w:cs="Courier New" w:eastAsia="Courier New" w:hAnsi="Courier New"/>
                <w:color w:val="C0392B"/>
                <w:sz w:val="17"/>
                <w:szCs w:val="17"/>
              </w:rPr>
              <w:t xml:space="preserve">+3% hoy</w:t>
            </w:r>
          </w:p>
        </w:tc>
        <w:tc>
          <w:tcPr>
            <w:tcW w:type="dxa" w:w="12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pPr>
              <w:jc w:val="center"/>
            </w:pPr>
            <w:r>
              <w:rPr>
                <w:rFonts w:ascii="Arial" w:cs="Arial" w:eastAsia="Arial" w:hAnsi="Arial"/>
                <w:b/>
                <w:bCs/>
                <w:color w:val="C0392B"/>
                <w:sz w:val="16"/>
                <w:szCs w:val="16"/>
              </w:rPr>
              <w:t xml:space="preserve">ALERTA</w:t>
            </w:r>
          </w:p>
        </w:tc>
        <w:tc>
          <w:tcPr>
            <w:tcW w:type="dxa" w:w="3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555555"/>
                <w:sz w:val="17"/>
                <w:szCs w:val="17"/>
              </w:rPr>
              <w:t xml:space="preserve">Peajes iraníes + extensión ultimátum: baja desde máximos pero sigue en zona de crisis.</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222222"/>
                <w:sz w:val="19"/>
                <w:szCs w:val="19"/>
              </w:rPr>
              <w:t xml:space="preserve">WTI</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rFonts w:ascii="Courier New" w:cs="Courier New" w:eastAsia="Courier New" w:hAnsi="Courier New"/>
                <w:b/>
                <w:bCs/>
                <w:color w:val="111111"/>
                <w:sz w:val="18"/>
                <w:szCs w:val="18"/>
              </w:rPr>
              <w:t xml:space="preserve">~$97/bbl</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Courier New" w:cs="Courier New" w:eastAsia="Courier New" w:hAnsi="Courier New"/>
                <w:color w:val="C0392B"/>
                <w:sz w:val="17"/>
                <w:szCs w:val="17"/>
              </w:rPr>
              <w:t xml:space="preserve">+2%</w:t>
            </w:r>
          </w:p>
        </w:tc>
        <w:tc>
          <w:tcPr>
            <w:tcW w:type="dxa" w:w="12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pPr>
              <w:jc w:val="center"/>
            </w:pPr>
            <w:r>
              <w:rPr>
                <w:rFonts w:ascii="Arial" w:cs="Arial" w:eastAsia="Arial" w:hAnsi="Arial"/>
                <w:b/>
                <w:bCs/>
                <w:color w:val="C0392B"/>
                <w:sz w:val="16"/>
                <w:szCs w:val="16"/>
              </w:rPr>
              <w:t xml:space="preserve">ALERTA</w:t>
            </w:r>
          </w:p>
        </w:tc>
        <w:tc>
          <w:tcPr>
            <w:tcW w:type="dxa" w:w="3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555555"/>
                <w:sz w:val="17"/>
                <w:szCs w:val="17"/>
              </w:rPr>
              <w:t xml:space="preserve">Por debajo de $100 tras la prórroga, pero el riesgo de rebote es alto.</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222222"/>
                <w:sz w:val="19"/>
                <w:szCs w:val="19"/>
              </w:rPr>
              <w:t xml:space="preserve">Gasolina EEUU</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rFonts w:ascii="Courier New" w:cs="Courier New" w:eastAsia="Courier New" w:hAnsi="Courier New"/>
                <w:b/>
                <w:bCs/>
                <w:color w:val="111111"/>
                <w:sz w:val="18"/>
                <w:szCs w:val="18"/>
              </w:rPr>
              <w:t xml:space="preserve">$3,94/galón</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Courier New" w:cs="Courier New" w:eastAsia="Courier New" w:hAnsi="Courier New"/>
                <w:color w:val="C0392B"/>
                <w:sz w:val="17"/>
                <w:szCs w:val="17"/>
              </w:rPr>
              <w:t xml:space="preserve">+93c/mes</w:t>
            </w:r>
          </w:p>
        </w:tc>
        <w:tc>
          <w:tcPr>
            <w:tcW w:type="dxa" w:w="12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pPr>
              <w:jc w:val="center"/>
            </w:pPr>
            <w:r>
              <w:rPr>
                <w:rFonts w:ascii="Arial" w:cs="Arial" w:eastAsia="Arial" w:hAnsi="Arial"/>
                <w:b/>
                <w:bCs/>
                <w:color w:val="C0392B"/>
                <w:sz w:val="16"/>
                <w:szCs w:val="16"/>
              </w:rPr>
              <w:t xml:space="preserve">ALERTA</w:t>
            </w:r>
          </w:p>
        </w:tc>
        <w:tc>
          <w:tcPr>
            <w:tcW w:type="dxa" w:w="3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555555"/>
                <w:sz w:val="17"/>
                <w:szCs w:val="17"/>
              </w:rPr>
              <w:t xml:space="preserve">Motor político del ultimátum de Trump. Sin alivio visible hasta apertura real de Hormuz.</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222222"/>
                <w:sz w:val="19"/>
                <w:szCs w:val="19"/>
              </w:rPr>
              <w:t xml:space="preserve">TTF gas europeo</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rFonts w:ascii="Courier New" w:cs="Courier New" w:eastAsia="Courier New" w:hAnsi="Courier New"/>
                <w:b/>
                <w:bCs/>
                <w:color w:val="111111"/>
                <w:sz w:val="18"/>
                <w:szCs w:val="18"/>
              </w:rPr>
              <w:t xml:space="preserve">~€68/MWh</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Courier New" w:cs="Courier New" w:eastAsia="Courier New" w:hAnsi="Courier New"/>
                <w:color w:val="C0392B"/>
                <w:sz w:val="17"/>
                <w:szCs w:val="17"/>
              </w:rPr>
              <w:t xml:space="preserve">+95%</w:t>
            </w:r>
          </w:p>
        </w:tc>
        <w:tc>
          <w:tcPr>
            <w:tcW w:type="dxa" w:w="12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pPr>
              <w:jc w:val="center"/>
            </w:pPr>
            <w:r>
              <w:rPr>
                <w:rFonts w:ascii="Arial" w:cs="Arial" w:eastAsia="Arial" w:hAnsi="Arial"/>
                <w:b/>
                <w:bCs/>
                <w:color w:val="C0392B"/>
                <w:sz w:val="16"/>
                <w:szCs w:val="16"/>
              </w:rPr>
              <w:t xml:space="preserve">ALERTA</w:t>
            </w:r>
          </w:p>
        </w:tc>
        <w:tc>
          <w:tcPr>
            <w:tcW w:type="dxa" w:w="3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555555"/>
                <w:sz w:val="17"/>
                <w:szCs w:val="17"/>
              </w:rPr>
              <w:t xml:space="preserve">LNG qatarí bloqueado. Reservas europeas en descenso acelerado.</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222222"/>
                <w:sz w:val="19"/>
                <w:szCs w:val="19"/>
              </w:rPr>
              <w:t xml:space="preserve">Fertilizante (urea)</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rFonts w:ascii="Courier New" w:cs="Courier New" w:eastAsia="Courier New" w:hAnsi="Courier New"/>
                <w:b/>
                <w:bCs/>
                <w:color w:val="111111"/>
                <w:sz w:val="18"/>
                <w:szCs w:val="18"/>
              </w:rPr>
              <w:t xml:space="preserve">$485/t</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Courier New" w:cs="Courier New" w:eastAsia="Courier New" w:hAnsi="Courier New"/>
                <w:color w:val="C0392B"/>
                <w:sz w:val="17"/>
                <w:szCs w:val="17"/>
              </w:rPr>
              <w:t xml:space="preserve">+45%</w:t>
            </w:r>
          </w:p>
        </w:tc>
        <w:tc>
          <w:tcPr>
            <w:tcW w:type="dxa" w:w="12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pPr>
              <w:jc w:val="center"/>
            </w:pPr>
            <w:r>
              <w:rPr>
                <w:rFonts w:ascii="Arial" w:cs="Arial" w:eastAsia="Arial" w:hAnsi="Arial"/>
                <w:b/>
                <w:bCs/>
                <w:color w:val="D68910"/>
                <w:sz w:val="16"/>
                <w:szCs w:val="16"/>
              </w:rPr>
              <w:t xml:space="preserve">TENSION</w:t>
            </w:r>
          </w:p>
        </w:tc>
        <w:tc>
          <w:tcPr>
            <w:tcW w:type="dxa" w:w="3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555555"/>
                <w:sz w:val="17"/>
                <w:szCs w:val="17"/>
              </w:rPr>
              <w:t xml:space="preserve">Cosecha 2026/27 en riesgo si el bloqueo supera 3 meses.</w:t>
            </w:r>
          </w:p>
        </w:tc>
      </w:tr>
      <w:tr>
        <w:tc>
          <w:tcPr>
            <w:tcW w:type="dxa" w:w="9026"/>
            <w:gridSpan w:val="5"/>
            <w:tcBorders>
              <w:top w:val="single" w:color="BBBBBB" w:sz="1"/>
              <w:left w:val="single" w:color="BBBBBB" w:sz="1"/>
              <w:bottom w:val="single" w:color="BBBBBB" w:sz="1"/>
              <w:right w:val="single" w:color="BBBBBB" w:sz="1"/>
            </w:tcBorders>
            <w:shd w:fill="EAF0FB" w:val="clear"/>
            <w:tcMar>
              <w:top w:type="dxa" w:w="55"/>
              <w:left w:type="dxa" w:w="120"/>
              <w:bottom w:type="dxa" w:w="55"/>
              <w:right w:type="dxa" w:w="120"/>
            </w:tcMar>
          </w:tcPr>
          <w:p>
            <w:r>
              <w:rPr>
                <w:rFonts w:ascii="Arial" w:cs="Arial" w:eastAsia="Arial" w:hAnsi="Arial"/>
                <w:b/>
                <w:bCs/>
                <w:color w:val="1F3A6E"/>
                <w:sz w:val="17"/>
                <w:szCs w:val="17"/>
              </w:rPr>
              <w:t xml:space="preserve">SEGURIDAD MARÍTIMA</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222222"/>
                <w:sz w:val="19"/>
                <w:szCs w:val="19"/>
              </w:rPr>
              <w:t xml:space="preserve">Tránsito Ormuz</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rFonts w:ascii="Courier New" w:cs="Courier New" w:eastAsia="Courier New" w:hAnsi="Courier New"/>
                <w:b/>
                <w:bCs/>
                <w:color w:val="111111"/>
                <w:sz w:val="18"/>
                <w:szCs w:val="18"/>
              </w:rPr>
              <w:t xml:space="preserve">~9 buques/día</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Courier New" w:cs="Courier New" w:eastAsia="Courier New" w:hAnsi="Courier New"/>
                <w:color w:val="1E8449"/>
                <w:sz w:val="17"/>
                <w:szCs w:val="17"/>
              </w:rPr>
              <w:t xml:space="preserve">-93%</w:t>
            </w:r>
          </w:p>
        </w:tc>
        <w:tc>
          <w:tcPr>
            <w:tcW w:type="dxa" w:w="12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pPr>
              <w:jc w:val="center"/>
            </w:pPr>
            <w:r>
              <w:rPr>
                <w:rFonts w:ascii="Arial" w:cs="Arial" w:eastAsia="Arial" w:hAnsi="Arial"/>
                <w:b/>
                <w:bCs/>
                <w:color w:val="C0392B"/>
                <w:sz w:val="16"/>
                <w:szCs w:val="16"/>
              </w:rPr>
              <w:t xml:space="preserve">ALERTA</w:t>
            </w:r>
          </w:p>
        </w:tc>
        <w:tc>
          <w:tcPr>
            <w:tcW w:type="dxa" w:w="3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555555"/>
                <w:sz w:val="17"/>
                <w:szCs w:val="17"/>
              </w:rPr>
              <w:t xml:space="preserve">20.000 marineros varados. 26 buques pagaron peajes iraníes en yuanes.</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222222"/>
                <w:sz w:val="19"/>
                <w:szCs w:val="19"/>
              </w:rPr>
              <w:t xml:space="preserve">Baltic Dirty Tanker</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rFonts w:ascii="Courier New" w:cs="Courier New" w:eastAsia="Courier New" w:hAnsi="Courier New"/>
                <w:b/>
                <w:bCs/>
                <w:color w:val="111111"/>
                <w:sz w:val="18"/>
                <w:szCs w:val="18"/>
              </w:rPr>
              <w:t xml:space="preserve">1.820 pts</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Courier New" w:cs="Courier New" w:eastAsia="Courier New" w:hAnsi="Courier New"/>
                <w:color w:val="C0392B"/>
                <w:sz w:val="17"/>
                <w:szCs w:val="17"/>
              </w:rPr>
              <w:t xml:space="preserve">+122%</w:t>
            </w:r>
          </w:p>
        </w:tc>
        <w:tc>
          <w:tcPr>
            <w:tcW w:type="dxa" w:w="12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pPr>
              <w:jc w:val="center"/>
            </w:pPr>
            <w:r>
              <w:rPr>
                <w:rFonts w:ascii="Arial" w:cs="Arial" w:eastAsia="Arial" w:hAnsi="Arial"/>
                <w:b/>
                <w:bCs/>
                <w:color w:val="C0392B"/>
                <w:sz w:val="16"/>
                <w:szCs w:val="16"/>
              </w:rPr>
              <w:t xml:space="preserve">ALERTA</w:t>
            </w:r>
          </w:p>
        </w:tc>
        <w:tc>
          <w:tcPr>
            <w:tcW w:type="dxa" w:w="3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555555"/>
                <w:sz w:val="17"/>
                <w:szCs w:val="17"/>
              </w:rPr>
              <w:t xml:space="preserve">Fletes en máximos históricos. Rutas alternativas saturadas.</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222222"/>
                <w:sz w:val="19"/>
                <w:szCs w:val="19"/>
              </w:rPr>
              <w:t xml:space="preserve">War risk insurance</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rFonts w:ascii="Courier New" w:cs="Courier New" w:eastAsia="Courier New" w:hAnsi="Courier New"/>
                <w:b/>
                <w:bCs/>
                <w:color w:val="111111"/>
                <w:sz w:val="18"/>
                <w:szCs w:val="18"/>
              </w:rPr>
              <w:t xml:space="preserve">3,5% valor buque</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Courier New" w:cs="Courier New" w:eastAsia="Courier New" w:hAnsi="Courier New"/>
                <w:color w:val="C0392B"/>
                <w:sz w:val="17"/>
                <w:szCs w:val="17"/>
              </w:rPr>
              <w:t xml:space="preserve">+300bp</w:t>
            </w:r>
          </w:p>
        </w:tc>
        <w:tc>
          <w:tcPr>
            <w:tcW w:type="dxa" w:w="12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pPr>
              <w:jc w:val="center"/>
            </w:pPr>
            <w:r>
              <w:rPr>
                <w:rFonts w:ascii="Arial" w:cs="Arial" w:eastAsia="Arial" w:hAnsi="Arial"/>
                <w:b/>
                <w:bCs/>
                <w:color w:val="C0392B"/>
                <w:sz w:val="16"/>
                <w:szCs w:val="16"/>
              </w:rPr>
              <w:t xml:space="preserve">ALERTA</w:t>
            </w:r>
          </w:p>
        </w:tc>
        <w:tc>
          <w:tcPr>
            <w:tcW w:type="dxa" w:w="3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555555"/>
                <w:sz w:val="17"/>
                <w:szCs w:val="17"/>
              </w:rPr>
              <w:t xml:space="preserve">Aseguradoras: no bajarán hasta alto el fuego formal.</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222222"/>
                <w:sz w:val="19"/>
                <w:szCs w:val="19"/>
              </w:rPr>
              <w:t xml:space="preserve">Marineros varados</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rFonts w:ascii="Courier New" w:cs="Courier New" w:eastAsia="Courier New" w:hAnsi="Courier New"/>
                <w:b/>
                <w:bCs/>
                <w:color w:val="111111"/>
                <w:sz w:val="18"/>
                <w:szCs w:val="18"/>
              </w:rPr>
              <w:t xml:space="preserve">20.000 personas</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Courier New" w:cs="Courier New" w:eastAsia="Courier New" w:hAnsi="Courier New"/>
                <w:color w:val="666666"/>
                <w:sz w:val="17"/>
                <w:szCs w:val="17"/>
              </w:rPr>
              <w:t xml:space="preserve">—</w:t>
            </w:r>
          </w:p>
        </w:tc>
        <w:tc>
          <w:tcPr>
            <w:tcW w:type="dxa" w:w="12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pPr>
              <w:jc w:val="center"/>
            </w:pPr>
            <w:r>
              <w:rPr>
                <w:rFonts w:ascii="Arial" w:cs="Arial" w:eastAsia="Arial" w:hAnsi="Arial"/>
                <w:b/>
                <w:bCs/>
                <w:color w:val="C0392B"/>
                <w:sz w:val="16"/>
                <w:szCs w:val="16"/>
              </w:rPr>
              <w:t xml:space="preserve">ALERTA</w:t>
            </w:r>
          </w:p>
        </w:tc>
        <w:tc>
          <w:tcPr>
            <w:tcW w:type="dxa" w:w="3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555555"/>
                <w:sz w:val="17"/>
                <w:szCs w:val="17"/>
              </w:rPr>
              <w:t xml:space="preserve">OIM: 18 incidentes confirmados. 7 marineros muertos. 3 desaparecidos.</w:t>
            </w:r>
          </w:p>
        </w:tc>
      </w:tr>
      <w:tr>
        <w:tc>
          <w:tcPr>
            <w:tcW w:type="dxa" w:w="9026"/>
            <w:gridSpan w:val="5"/>
            <w:tcBorders>
              <w:top w:val="single" w:color="BBBBBB" w:sz="1"/>
              <w:left w:val="single" w:color="BBBBBB" w:sz="1"/>
              <w:bottom w:val="single" w:color="BBBBBB" w:sz="1"/>
              <w:right w:val="single" w:color="BBBBBB" w:sz="1"/>
            </w:tcBorders>
            <w:shd w:fill="EAF0FB" w:val="clear"/>
            <w:tcMar>
              <w:top w:type="dxa" w:w="55"/>
              <w:left w:type="dxa" w:w="120"/>
              <w:bottom w:type="dxa" w:w="55"/>
              <w:right w:type="dxa" w:w="120"/>
            </w:tcMar>
          </w:tcPr>
          <w:p>
            <w:r>
              <w:rPr>
                <w:rFonts w:ascii="Arial" w:cs="Arial" w:eastAsia="Arial" w:hAnsi="Arial"/>
                <w:b/>
                <w:bCs/>
                <w:color w:val="1F3A6E"/>
                <w:sz w:val="17"/>
                <w:szCs w:val="17"/>
              </w:rPr>
              <w:t xml:space="preserve">SEGURIDAD ECONÓMICA</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222222"/>
                <w:sz w:val="19"/>
                <w:szCs w:val="19"/>
              </w:rPr>
              <w:t xml:space="preserve">Oro spot</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rFonts w:ascii="Courier New" w:cs="Courier New" w:eastAsia="Courier New" w:hAnsi="Courier New"/>
                <w:b/>
                <w:bCs/>
                <w:color w:val="111111"/>
                <w:sz w:val="18"/>
                <w:szCs w:val="18"/>
              </w:rPr>
              <w:t xml:space="preserve">$3.180/oz</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Courier New" w:cs="Courier New" w:eastAsia="Courier New" w:hAnsi="Courier New"/>
                <w:color w:val="C0392B"/>
                <w:sz w:val="17"/>
                <w:szCs w:val="17"/>
              </w:rPr>
              <w:t xml:space="preserve">+18%</w:t>
            </w:r>
          </w:p>
        </w:tc>
        <w:tc>
          <w:tcPr>
            <w:tcW w:type="dxa" w:w="12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pPr>
              <w:jc w:val="center"/>
            </w:pPr>
            <w:r>
              <w:rPr>
                <w:rFonts w:ascii="Arial" w:cs="Arial" w:eastAsia="Arial" w:hAnsi="Arial"/>
                <w:b/>
                <w:bCs/>
                <w:color w:val="D68910"/>
                <w:sz w:val="16"/>
                <w:szCs w:val="16"/>
              </w:rPr>
              <w:t xml:space="preserve">TENSION</w:t>
            </w:r>
          </w:p>
        </w:tc>
        <w:tc>
          <w:tcPr>
            <w:tcW w:type="dxa" w:w="3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555555"/>
                <w:sz w:val="17"/>
                <w:szCs w:val="17"/>
              </w:rPr>
              <w:t xml:space="preserve">Refugio activo. Institucionales en máxima exposición.</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222222"/>
                <w:sz w:val="19"/>
                <w:szCs w:val="19"/>
              </w:rPr>
              <w:t xml:space="preserve">High Yield Spreads</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rFonts w:ascii="Courier New" w:cs="Courier New" w:eastAsia="Courier New" w:hAnsi="Courier New"/>
                <w:b/>
                <w:bCs/>
                <w:color w:val="111111"/>
                <w:sz w:val="18"/>
                <w:szCs w:val="18"/>
              </w:rPr>
              <w:t xml:space="preserve">580 bps</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Courier New" w:cs="Courier New" w:eastAsia="Courier New" w:hAnsi="Courier New"/>
                <w:color w:val="C0392B"/>
                <w:sz w:val="17"/>
                <w:szCs w:val="17"/>
              </w:rPr>
              <w:t xml:space="preserve">+190bp</w:t>
            </w:r>
          </w:p>
        </w:tc>
        <w:tc>
          <w:tcPr>
            <w:tcW w:type="dxa" w:w="12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pPr>
              <w:jc w:val="center"/>
            </w:pPr>
            <w:r>
              <w:rPr>
                <w:rFonts w:ascii="Arial" w:cs="Arial" w:eastAsia="Arial" w:hAnsi="Arial"/>
                <w:b/>
                <w:bCs/>
                <w:color w:val="D68910"/>
                <w:sz w:val="16"/>
                <w:szCs w:val="16"/>
              </w:rPr>
              <w:t xml:space="preserve">TENSION</w:t>
            </w:r>
          </w:p>
        </w:tc>
        <w:tc>
          <w:tcPr>
            <w:tcW w:type="dxa" w:w="3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555555"/>
                <w:sz w:val="17"/>
                <w:szCs w:val="17"/>
              </w:rPr>
              <w:t xml:space="preserve">Mercados de crédito en alerta. No llega aún a pánico.</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222222"/>
                <w:sz w:val="19"/>
                <w:szCs w:val="19"/>
              </w:rPr>
              <w:t xml:space="preserve">PMI Manufacturero</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rFonts w:ascii="Courier New" w:cs="Courier New" w:eastAsia="Courier New" w:hAnsi="Courier New"/>
                <w:b/>
                <w:bCs/>
                <w:color w:val="111111"/>
                <w:sz w:val="18"/>
                <w:szCs w:val="18"/>
              </w:rPr>
              <w:t xml:space="preserve">44,2</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Courier New" w:cs="Courier New" w:eastAsia="Courier New" w:hAnsi="Courier New"/>
                <w:color w:val="1E8449"/>
                <w:sz w:val="17"/>
                <w:szCs w:val="17"/>
              </w:rPr>
              <w:t xml:space="preserve">-8,1</w:t>
            </w:r>
          </w:p>
        </w:tc>
        <w:tc>
          <w:tcPr>
            <w:tcW w:type="dxa" w:w="12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pPr>
              <w:jc w:val="center"/>
            </w:pPr>
            <w:r>
              <w:rPr>
                <w:rFonts w:ascii="Arial" w:cs="Arial" w:eastAsia="Arial" w:hAnsi="Arial"/>
                <w:b/>
                <w:bCs/>
                <w:color w:val="C0392B"/>
                <w:sz w:val="16"/>
                <w:szCs w:val="16"/>
              </w:rPr>
              <w:t xml:space="preserve">ALERTA</w:t>
            </w:r>
          </w:p>
        </w:tc>
        <w:tc>
          <w:tcPr>
            <w:tcW w:type="dxa" w:w="3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555555"/>
                <w:sz w:val="17"/>
                <w:szCs w:val="17"/>
              </w:rPr>
              <w:t xml:space="preserve">Contracción acelerada. Goldman: precios altos hasta 2027.</w:t>
            </w:r>
          </w:p>
        </w:tc>
      </w:tr>
      <w:tr>
        <w:tc>
          <w:tcPr>
            <w:tcW w:type="dxa" w:w="9026"/>
            <w:gridSpan w:val="5"/>
            <w:tcBorders>
              <w:top w:val="single" w:color="BBBBBB" w:sz="1"/>
              <w:left w:val="single" w:color="BBBBBB" w:sz="1"/>
              <w:bottom w:val="single" w:color="BBBBBB" w:sz="1"/>
              <w:right w:val="single" w:color="BBBBBB" w:sz="1"/>
            </w:tcBorders>
            <w:shd w:fill="EAF0FB" w:val="clear"/>
            <w:tcMar>
              <w:top w:type="dxa" w:w="55"/>
              <w:left w:type="dxa" w:w="120"/>
              <w:bottom w:type="dxa" w:w="55"/>
              <w:right w:type="dxa" w:w="120"/>
            </w:tcMar>
          </w:tcPr>
          <w:p>
            <w:r>
              <w:rPr>
                <w:rFonts w:ascii="Arial" w:cs="Arial" w:eastAsia="Arial" w:hAnsi="Arial"/>
                <w:b/>
                <w:bCs/>
                <w:color w:val="1F3A6E"/>
                <w:sz w:val="17"/>
                <w:szCs w:val="17"/>
              </w:rPr>
              <w:t xml:space="preserve">SEGURIDAD GEOPOLÍTICA</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222222"/>
                <w:sz w:val="19"/>
                <w:szCs w:val="19"/>
              </w:rPr>
              <w:t xml:space="preserve">Muertes en Oriente M.</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rFonts w:ascii="Courier New" w:cs="Courier New" w:eastAsia="Courier New" w:hAnsi="Courier New"/>
                <w:b/>
                <w:bCs/>
                <w:color w:val="111111"/>
                <w:sz w:val="18"/>
                <w:szCs w:val="18"/>
              </w:rPr>
              <w:t xml:space="preserve">3.000+</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Courier New" w:cs="Courier New" w:eastAsia="Courier New" w:hAnsi="Courier New"/>
                <w:color w:val="666666"/>
                <w:sz w:val="17"/>
                <w:szCs w:val="17"/>
              </w:rPr>
              <w:t xml:space="preserve">—</w:t>
            </w:r>
          </w:p>
        </w:tc>
        <w:tc>
          <w:tcPr>
            <w:tcW w:type="dxa" w:w="12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pPr>
              <w:jc w:val="center"/>
            </w:pPr>
            <w:r>
              <w:rPr>
                <w:rFonts w:ascii="Arial" w:cs="Arial" w:eastAsia="Arial" w:hAnsi="Arial"/>
                <w:b/>
                <w:bCs/>
                <w:color w:val="C0392B"/>
                <w:sz w:val="16"/>
                <w:szCs w:val="16"/>
              </w:rPr>
              <w:t xml:space="preserve">ALERTA</w:t>
            </w:r>
          </w:p>
        </w:tc>
        <w:tc>
          <w:tcPr>
            <w:tcW w:type="dxa" w:w="3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555555"/>
                <w:sz w:val="17"/>
                <w:szCs w:val="17"/>
              </w:rPr>
              <w:t xml:space="preserve">Irán: 1.900 · Líbano: 1.189 · Irak: 99. Houthis entran en el conflicto hoy.</w:t>
            </w:r>
          </w:p>
        </w:tc>
      </w:tr>
      <w:tr>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222222"/>
                <w:sz w:val="19"/>
                <w:szCs w:val="19"/>
              </w:rPr>
              <w:t xml:space="preserve">Índice GPR</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rFonts w:ascii="Courier New" w:cs="Courier New" w:eastAsia="Courier New" w:hAnsi="Courier New"/>
                <w:b/>
                <w:bCs/>
                <w:color w:val="111111"/>
                <w:sz w:val="18"/>
                <w:szCs w:val="18"/>
              </w:rPr>
              <w:t xml:space="preserve">Máximos hist.</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Courier New" w:cs="Courier New" w:eastAsia="Courier New" w:hAnsi="Courier New"/>
                <w:color w:val="C0392B"/>
                <w:sz w:val="17"/>
                <w:szCs w:val="17"/>
              </w:rPr>
              <w:t xml:space="preserve">+75%</w:t>
            </w:r>
          </w:p>
        </w:tc>
        <w:tc>
          <w:tcPr>
            <w:tcW w:type="dxa" w:w="12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pPr>
              <w:jc w:val="center"/>
            </w:pPr>
            <w:r>
              <w:rPr>
                <w:rFonts w:ascii="Arial" w:cs="Arial" w:eastAsia="Arial" w:hAnsi="Arial"/>
                <w:b/>
                <w:bCs/>
                <w:color w:val="C0392B"/>
                <w:sz w:val="16"/>
                <w:szCs w:val="16"/>
              </w:rPr>
              <w:t xml:space="preserve">ALERTA</w:t>
            </w:r>
          </w:p>
        </w:tc>
        <w:tc>
          <w:tcPr>
            <w:tcW w:type="dxa" w:w="3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555555"/>
                <w:sz w:val="17"/>
                <w:szCs w:val="17"/>
              </w:rPr>
              <w:t xml:space="preserve">Mayor nivel desde invasión de Ucrania.</w:t>
            </w:r>
          </w:p>
        </w:tc>
      </w:tr>
    </w:tbl>
    <w:p>
      <w:pPr>
        <w:spacing w:before="60" w:after="60"/>
      </w:pPr>
      <w:r>
        <w:t xml:space="preserve"/>
      </w:r>
    </w:p>
    <w:p>
      <w:pPr>
        <w:pStyle w:val="Heading1"/>
        <w:pBdr>
          <w:bottom w:val="single" w:color="1F3A6E" w:sz="6" w:space="1"/>
        </w:pBdr>
        <w:spacing w:before="320" w:after="120"/>
      </w:pPr>
      <w:r>
        <w:rPr>
          <w:rFonts w:ascii="Arial" w:cs="Arial" w:eastAsia="Arial" w:hAnsi="Arial"/>
          <w:b/>
          <w:bCs/>
          <w:color w:val="1F3A6E"/>
          <w:sz w:val="28"/>
          <w:szCs w:val="28"/>
        </w:rPr>
        <w:t xml:space="preserve">5. Narrativa analítica</w:t>
      </w:r>
    </w:p>
    <w:p>
      <w:pPr>
        <w:spacing w:before="60" w:after="60"/>
      </w:pPr>
      <w:r>
        <w:rPr>
          <w:rFonts w:ascii="Arial" w:cs="Arial" w:eastAsia="Arial" w:hAnsi="Arial"/>
          <w:color w:val="222222"/>
          <w:sz w:val="20"/>
          <w:szCs w:val="20"/>
        </w:rPr>
        <w:t xml:space="preserve">El conflicto acaba de experimentar su primera señal diplomática real desde el inicio: la mediación pakistaní ha logrado que Irán autorice el paso de 20 buques, y Trump ha extendido el ultimátum 10 días. Pero los mercados no deben engañarse con estas señales. Irán ha añadido a su lista de condiciones el reconocimiento de su soberanía sobre el Estrecho — una demanda radicalmente nueva que no existía en negociaciones previas y que ningún gobierno occidental puede aceptar sin consecuencias. El nuevo líder supremo Mojtaba Khamenei dejó claro en su primer discurso que el control del Estrecho es 'un instrumento que debe seguir siendo usado'.</w:t>
      </w:r>
    </w:p>
    <w:p>
      <w:pPr>
        <w:spacing w:before="60" w:after="60"/>
      </w:pPr>
      <w:r>
        <w:t xml:space="preserve"/>
      </w:r>
    </w:p>
    <w:p>
      <w:pPr>
        <w:spacing w:before="60" w:after="60"/>
      </w:pPr>
      <w:r>
        <w:rPr>
          <w:rFonts w:ascii="Arial" w:cs="Arial" w:eastAsia="Arial" w:hAnsi="Arial"/>
          <w:color w:val="222222"/>
          <w:sz w:val="20"/>
          <w:szCs w:val="20"/>
        </w:rPr>
        <w:t xml:space="preserve">El sistema de peajes iraní ya está operativo: 26 buques han transitado bajo vetting del IRGC, al menos dos pagando millones en yuanes chinos. Esto no es una concesión — es la institutcionalización del control iraní sobre la ruta energética más importante del mundo. Si Irán logra cobrar durante semanas sin respuesta, habrá establecido un precedente de derecho internacional marítimo que será muy difícil de revertir, independientemente del resultado militar.</w:t>
      </w:r>
    </w:p>
    <w:p>
      <w:pPr>
        <w:spacing w:before="60" w:after="60"/>
      </w:pPr>
      <w:r>
        <w:t xml:space="preserve"/>
      </w:r>
    </w:p>
    <w:p>
      <w:pPr>
        <w:spacing w:before="60" w:after="60"/>
      </w:pPr>
      <w:r>
        <w:rPr>
          <w:rFonts w:ascii="Arial" w:cs="Arial" w:eastAsia="Arial" w:hAnsi="Arial"/>
          <w:color w:val="222222"/>
          <w:sz w:val="20"/>
          <w:szCs w:val="20"/>
        </w:rPr>
        <w:t xml:space="preserve">La ventana crítica: los expertos petroleros advierten que el suministro global perdido se duplicará en torno al 19 de abril. Cada día de bloqueo adicional acerca ese umbral. La extensión del ultimátum compra tiempo diplomático, pero también permite que el daño económico acumulado siga creciendo.</w:t>
      </w:r>
    </w:p>
    <w:p>
      <w:pPr>
        <w:spacing w:before="60" w:after="60"/>
      </w:pPr>
      <w:r>
        <w:t xml:space="preserve"/>
      </w:r>
    </w:p>
    <w:p>
      <w:pPr>
        <w:pStyle w:val="Heading2"/>
        <w:spacing w:before="200" w:after="80"/>
      </w:pPr>
      <w:r>
        <w:rPr>
          <w:rFonts w:ascii="Arial" w:cs="Arial" w:eastAsia="Arial" w:hAnsi="Arial"/>
          <w:b/>
          <w:bCs/>
          <w:color w:val="1F3A6E"/>
          <w:sz w:val="22"/>
          <w:szCs w:val="22"/>
        </w:rPr>
        <w:t xml:space="preserve">5.1 Segunda y tercera derivada</w:t>
      </w:r>
    </w:p>
    <w:p>
      <w:pPr>
        <w:pStyle w:val="ListParagraph"/>
        <w:numPr>
          <w:ilvl w:val="0"/>
          <w:numId w:val="2"/>
        </w:numPr>
        <w:spacing w:before="40" w:after="40"/>
      </w:pPr>
      <w:r>
        <w:rPr>
          <w:rFonts w:ascii="Arial" w:cs="Arial" w:eastAsia="Arial" w:hAnsi="Arial"/>
          <w:b/>
          <w:bCs/>
          <w:color w:val="222222"/>
          <w:sz w:val="20"/>
          <w:szCs w:val="20"/>
        </w:rPr>
        <w:t xml:space="preserve">1ª → </w:t>
      </w:r>
      <w:r>
        <w:rPr>
          <w:rFonts w:ascii="Arial" w:cs="Arial" w:eastAsia="Arial" w:hAnsi="Arial"/>
          <w:color w:val="222222"/>
          <w:sz w:val="20"/>
          <w:szCs w:val="20"/>
        </w:rPr>
        <w:t xml:space="preserve">Irán formaliza peajes sobre Hormuz → precedente legal que legitima el cobro de derechos de tránsito en aguas internacionales → desestabilización del derecho internacional marítimo global.</w:t>
      </w:r>
    </w:p>
    <w:p>
      <w:pPr>
        <w:pStyle w:val="ListParagraph"/>
        <w:numPr>
          <w:ilvl w:val="0"/>
          <w:numId w:val="2"/>
        </w:numPr>
        <w:spacing w:before="40" w:after="40"/>
      </w:pPr>
      <w:r>
        <w:rPr>
          <w:rFonts w:ascii="Arial" w:cs="Arial" w:eastAsia="Arial" w:hAnsi="Arial"/>
          <w:b/>
          <w:bCs/>
          <w:color w:val="222222"/>
          <w:sz w:val="20"/>
          <w:szCs w:val="20"/>
        </w:rPr>
        <w:t xml:space="preserve">2ª → </w:t>
      </w:r>
      <w:r>
        <w:rPr>
          <w:rFonts w:ascii="Arial" w:cs="Arial" w:eastAsia="Arial" w:hAnsi="Arial"/>
          <w:color w:val="222222"/>
          <w:sz w:val="20"/>
          <w:szCs w:val="20"/>
        </w:rPr>
        <w:t xml:space="preserve">Si Hormuz no reabre antes del 19 de abril → pérdida de suministro se duplica a 9-10 M bpd → mayor interrupción de suministro de petróleo de la historia → Brent &gt; $150.</w:t>
      </w:r>
    </w:p>
    <w:p>
      <w:pPr>
        <w:pStyle w:val="ListParagraph"/>
        <w:numPr>
          <w:ilvl w:val="0"/>
          <w:numId w:val="2"/>
        </w:numPr>
        <w:spacing w:before="40" w:after="40"/>
      </w:pPr>
      <w:r>
        <w:rPr>
          <w:rFonts w:ascii="Arial" w:cs="Arial" w:eastAsia="Arial" w:hAnsi="Arial"/>
          <w:b/>
          <w:bCs/>
          <w:color w:val="222222"/>
          <w:sz w:val="20"/>
          <w:szCs w:val="20"/>
        </w:rPr>
        <w:t xml:space="preserve">3ª → </w:t>
      </w:r>
      <w:r>
        <w:rPr>
          <w:rFonts w:ascii="Arial" w:cs="Arial" w:eastAsia="Arial" w:hAnsi="Arial"/>
          <w:color w:val="222222"/>
          <w:sz w:val="20"/>
          <w:szCs w:val="20"/>
        </w:rPr>
        <w:t xml:space="preserve">Shock energético persistente → BCE no puede bajar tipos → hipotecas variables en España suben (Euribor ya en 2,55%) → frenazo al consumo y a la inversión → recesión técnica en Q3.</w:t>
      </w:r>
    </w:p>
    <w:p>
      <w:pPr>
        <w:spacing w:before="60" w:after="60"/>
      </w:pPr>
      <w:r>
        <w:t xml:space="preserve"/>
      </w:r>
    </w:p>
    <w:p>
      <w:pPr>
        <w:pStyle w:val="Heading1"/>
        <w:pBdr>
          <w:bottom w:val="single" w:color="1F3A6E" w:sz="6" w:space="1"/>
        </w:pBdr>
        <w:spacing w:before="320" w:after="120"/>
      </w:pPr>
      <w:r>
        <w:rPr>
          <w:rFonts w:ascii="Arial" w:cs="Arial" w:eastAsia="Arial" w:hAnsi="Arial"/>
          <w:b/>
          <w:bCs/>
          <w:color w:val="1F3A6E"/>
          <w:sz w:val="28"/>
          <w:szCs w:val="28"/>
        </w:rPr>
        <w:t xml:space="preserve">6. Consecuencias para España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6426"/>
      </w:tblGrid>
      <w:tr>
        <w:tc>
          <w:tcPr>
            <w:tcW w:type="dxa" w:w="1700"/>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pPr>
              <w:jc w:val="left"/>
            </w:pPr>
            <w:r>
              <w:rPr>
                <w:rFonts w:ascii="Arial" w:cs="Arial" w:eastAsia="Arial" w:hAnsi="Arial"/>
                <w:b/>
                <w:bCs/>
                <w:color w:val="FFFFFF"/>
                <w:sz w:val="17"/>
                <w:szCs w:val="17"/>
              </w:rPr>
              <w:t xml:space="preserve">Tema / Fuentes</w:t>
            </w:r>
          </w:p>
        </w:tc>
        <w:tc>
          <w:tcPr>
            <w:tcW w:type="dxa" w:w="900"/>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pPr>
              <w:jc w:val="left"/>
            </w:pPr>
            <w:r>
              <w:rPr>
                <w:rFonts w:ascii="Arial" w:cs="Arial" w:eastAsia="Arial" w:hAnsi="Arial"/>
                <w:b/>
                <w:bCs/>
                <w:color w:val="FFFFFF"/>
                <w:sz w:val="17"/>
                <w:szCs w:val="17"/>
              </w:rPr>
              <w:t xml:space="preserve">Severidad</w:t>
            </w:r>
          </w:p>
        </w:tc>
        <w:tc>
          <w:tcPr>
            <w:tcW w:type="dxa" w:w="6426"/>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pPr>
              <w:jc w:val="left"/>
            </w:pPr>
            <w:r>
              <w:rPr>
                <w:rFonts w:ascii="Arial" w:cs="Arial" w:eastAsia="Arial" w:hAnsi="Arial"/>
                <w:b/>
                <w:bCs/>
                <w:color w:val="FFFFFF"/>
                <w:sz w:val="17"/>
                <w:szCs w:val="17"/>
              </w:rPr>
              <w:t xml:space="preserve">Análisis</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222222"/>
                <w:sz w:val="19"/>
                <w:szCs w:val="19"/>
              </w:rPr>
              <w:t xml:space="preserve">IPC marzo: 3,3%</w:t>
            </w:r>
          </w:p>
          <w:p>
            <w:pPr>
              <w:spacing w:before="25"/>
            </w:pPr>
            <w:r>
              <w:rPr>
                <w:rFonts w:ascii="Arial" w:cs="Arial" w:eastAsia="Arial" w:hAnsi="Arial"/>
                <w:i/>
                <w:iCs/>
                <w:color w:val="1F3A6E"/>
                <w:sz w:val="14"/>
                <w:szCs w:val="14"/>
              </w:rPr>
              <w:t xml:space="preserve">INE · El País · Infobae</w:t>
            </w:r>
          </w:p>
        </w:tc>
        <w:tc>
          <w:tcPr>
            <w:tcW w:type="dxa" w:w="9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pPr>
              <w:jc w:val="center"/>
            </w:pPr>
            <w:r>
              <w:rPr>
                <w:rFonts w:ascii="Arial" w:cs="Arial" w:eastAsia="Arial" w:hAnsi="Arial"/>
                <w:b/>
                <w:bCs/>
                <w:color w:val="C0392B"/>
                <w:sz w:val="16"/>
                <w:szCs w:val="16"/>
              </w:rPr>
              <w:t xml:space="preserve">ALTA</w:t>
            </w:r>
          </w:p>
        </w:tc>
        <w:tc>
          <w:tcPr>
            <w:tcW w:type="dxa" w:w="6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33333"/>
                <w:sz w:val="18"/>
                <w:szCs w:val="18"/>
              </w:rPr>
              <w:t xml:space="preserve">El INE confirmó ayer que el IPC subió un punto en marzo hasta el 3,3% — el mayor salto mensual desde junio de 2022 (guerra de Ucrania) y el nivel más alto desde junio de 2024. El componente energético (gasolina y gasóleo) es el responsable principal. La inflación subyacente se mantiene estable en el 2,7%, lo que indica que el shock aún no se ha trasladado a la cesta de la compra más allá de la energía — pero los expertos advierten que es solo cuestión de tiempo.</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222222"/>
                <w:sz w:val="19"/>
                <w:szCs w:val="19"/>
              </w:rPr>
              <w:t xml:space="preserve">Escenarios del Banco de España</w:t>
            </w:r>
          </w:p>
          <w:p>
            <w:pPr>
              <w:spacing w:before="25"/>
            </w:pPr>
            <w:r>
              <w:rPr>
                <w:rFonts w:ascii="Arial" w:cs="Arial" w:eastAsia="Arial" w:hAnsi="Arial"/>
                <w:i/>
                <w:iCs/>
                <w:color w:val="1F3A6E"/>
                <w:sz w:val="14"/>
                <w:szCs w:val="14"/>
              </w:rPr>
              <w:t xml:space="preserve">Banco de España · Interdiario</w:t>
            </w:r>
          </w:p>
        </w:tc>
        <w:tc>
          <w:tcPr>
            <w:tcW w:type="dxa" w:w="9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pPr>
              <w:jc w:val="center"/>
            </w:pPr>
            <w:r>
              <w:rPr>
                <w:rFonts w:ascii="Arial" w:cs="Arial" w:eastAsia="Arial" w:hAnsi="Arial"/>
                <w:b/>
                <w:bCs/>
                <w:color w:val="C0392B"/>
                <w:sz w:val="16"/>
                <w:szCs w:val="16"/>
              </w:rPr>
              <w:t xml:space="preserve">ALTA</w:t>
            </w:r>
          </w:p>
        </w:tc>
        <w:tc>
          <w:tcPr>
            <w:tcW w:type="dxa" w:w="6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33333"/>
                <w:sz w:val="18"/>
                <w:szCs w:val="18"/>
              </w:rPr>
              <w:t xml:space="preserve">El Banco de España publicó ayer tres escenarios. Central: inflación al 3% anual, PIB al 2,3%. Severo (guerra prolongada): inflación al 5,9%, PIB al 1,9% en 2026 y 1,1% en 2027. El escenario severo implica que el BCE no pueda seguir bajando tipos, el Euribor siga subiendo y los 2,7 millones de hogares con hipoteca variable paguen cuotas más altas. El Euribor ya ha subido a 2,55%, su mayor subida diaria en casi 20 años.</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222222"/>
                <w:sz w:val="19"/>
                <w:szCs w:val="19"/>
              </w:rPr>
              <w:t xml:space="preserve">Gasolina y gasóleo</w:t>
            </w:r>
          </w:p>
          <w:p>
            <w:pPr>
              <w:spacing w:before="25"/>
            </w:pPr>
            <w:r>
              <w:rPr>
                <w:rFonts w:ascii="Arial" w:cs="Arial" w:eastAsia="Arial" w:hAnsi="Arial"/>
                <w:i/>
                <w:iCs/>
                <w:color w:val="1F3A6E"/>
                <w:sz w:val="14"/>
                <w:szCs w:val="14"/>
              </w:rPr>
              <w:t xml:space="preserve">OCU · Euronews · Funcas</w:t>
            </w:r>
          </w:p>
        </w:tc>
        <w:tc>
          <w:tcPr>
            <w:tcW w:type="dxa" w:w="9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pPr>
              <w:jc w:val="center"/>
            </w:pPr>
            <w:r>
              <w:rPr>
                <w:rFonts w:ascii="Arial" w:cs="Arial" w:eastAsia="Arial" w:hAnsi="Arial"/>
                <w:b/>
                <w:bCs/>
                <w:color w:val="C0392B"/>
                <w:sz w:val="16"/>
                <w:szCs w:val="16"/>
              </w:rPr>
              <w:t xml:space="preserve">ALTA</w:t>
            </w:r>
          </w:p>
        </w:tc>
        <w:tc>
          <w:tcPr>
            <w:tcW w:type="dxa" w:w="6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33333"/>
                <w:sz w:val="18"/>
                <w:szCs w:val="18"/>
              </w:rPr>
              <w:t xml:space="preserve">Gasolina +18,9% y gasóleo +31,1% desde el 28 de febrero (OCU). Precio medio: gasolina 1,709 €/l · gasóleo 1,837 €/l. En algunas gasolineras de grandes ciudades y autopistas, ambos carburantes se acercan o superan los 2 €/l. Llenar un depósito de 60 litros cuesta 20€ más que antes de la guerra; la factura anual ha subido ~225€ por hogar. La OCU registra que la cesta de la compra alcanzó los 320,78€ en marzo — su nivel más alto desde junio de 2024.</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222222"/>
                <w:sz w:val="19"/>
                <w:szCs w:val="19"/>
              </w:rPr>
              <w:t xml:space="preserve">Decreto anticrisis convalidado</w:t>
            </w:r>
          </w:p>
          <w:p>
            <w:pPr>
              <w:spacing w:before="25"/>
            </w:pPr>
            <w:r>
              <w:rPr>
                <w:rFonts w:ascii="Arial" w:cs="Arial" w:eastAsia="Arial" w:hAnsi="Arial"/>
                <w:i/>
                <w:iCs/>
                <w:color w:val="1F3A6E"/>
                <w:sz w:val="14"/>
                <w:szCs w:val="14"/>
              </w:rPr>
              <w:t xml:space="preserve">El Congreso · La Moncloa</w:t>
            </w:r>
          </w:p>
        </w:tc>
        <w:tc>
          <w:tcPr>
            <w:tcW w:type="dxa" w:w="9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pPr>
              <w:jc w:val="center"/>
            </w:pPr>
            <w:r>
              <w:rPr>
                <w:rFonts w:ascii="Arial" w:cs="Arial" w:eastAsia="Arial" w:hAnsi="Arial"/>
                <w:b/>
                <w:bCs/>
                <w:color w:val="D68910"/>
                <w:sz w:val="16"/>
                <w:szCs w:val="16"/>
              </w:rPr>
              <w:t xml:space="preserve">MEDIA</w:t>
            </w:r>
          </w:p>
        </w:tc>
        <w:tc>
          <w:tcPr>
            <w:tcW w:type="dxa" w:w="6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33333"/>
                <w:sz w:val="18"/>
                <w:szCs w:val="18"/>
              </w:rPr>
              <w:t xml:space="preserve">El Congreso convalidó esta semana el Real Decreto-ley 7/2026 con solo Vox en contra. Medidas: IVA carburantes al 10%, reducción del impuesto de hidrocarburos al mínimo europeo (ahorro hasta 30 céntimos/litro), congelación alquileres que vencen en 2026-27 (2,7 millones de personas), bonificación 80% en peajes eléctricos para industria expuesta, 20 céntimos/litro adicionales para transportistas, agricultores y pescadores. Presupuesto: 5.000 millones de euros.</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222222"/>
                <w:sz w:val="19"/>
                <w:szCs w:val="19"/>
              </w:rPr>
              <w:t xml:space="preserve">Dependencia energética</w:t>
            </w:r>
          </w:p>
          <w:p>
            <w:pPr>
              <w:spacing w:before="25"/>
            </w:pPr>
            <w:r>
              <w:rPr>
                <w:rFonts w:ascii="Arial" w:cs="Arial" w:eastAsia="Arial" w:hAnsi="Arial"/>
                <w:i/>
                <w:iCs/>
                <w:color w:val="1F3A6E"/>
                <w:sz w:val="14"/>
                <w:szCs w:val="14"/>
              </w:rPr>
              <w:t xml:space="preserve">Funcas · Min. Energía</w:t>
            </w:r>
          </w:p>
        </w:tc>
        <w:tc>
          <w:tcPr>
            <w:tcW w:type="dxa" w:w="9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jc w:val="center"/>
            </w:pPr>
            <w:r>
              <w:rPr>
                <w:rFonts w:ascii="Arial" w:cs="Arial" w:eastAsia="Arial" w:hAnsi="Arial"/>
                <w:b/>
                <w:bCs/>
                <w:color w:val="666666"/>
                <w:sz w:val="16"/>
                <w:szCs w:val="16"/>
              </w:rPr>
              <w:t xml:space="preserve">BAJA</w:t>
            </w:r>
          </w:p>
        </w:tc>
        <w:tc>
          <w:tcPr>
            <w:tcW w:type="dxa" w:w="6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33333"/>
                <w:sz w:val="18"/>
                <w:szCs w:val="18"/>
              </w:rPr>
              <w:t xml:space="preserve">España está relativamente protegida gracias a su diversificación: Qatar solo representa el 1,7% del gas importado (frente al 20% en Alemania). Argelia (34,6%) y EEUU (30%) son los principales proveedores. El 84% de las horas del mercado eléctrico en 2026 se cubre con renovables, frente al 25% en 2019. El Gobierno afirma que tiene preparado el 'mecanismo ibérico' de tope al gas si fuera necesario.</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222222"/>
                <w:sz w:val="19"/>
                <w:szCs w:val="19"/>
              </w:rPr>
              <w:t xml:space="preserve">Bases Rota y Morón</w:t>
            </w:r>
          </w:p>
          <w:p>
            <w:pPr>
              <w:spacing w:before="25"/>
            </w:pPr>
            <w:r>
              <w:rPr>
                <w:rFonts w:ascii="Arial" w:cs="Arial" w:eastAsia="Arial" w:hAnsi="Arial"/>
                <w:i/>
                <w:iCs/>
                <w:color w:val="1F3A6E"/>
                <w:sz w:val="14"/>
                <w:szCs w:val="14"/>
              </w:rPr>
              <w:t xml:space="preserve">El Mundo · ABC</w:t>
            </w:r>
          </w:p>
        </w:tc>
        <w:tc>
          <w:tcPr>
            <w:tcW w:type="dxa" w:w="900"/>
            <w:tcBorders>
              <w:top w:val="single" w:color="BBBBBB" w:sz="1"/>
              <w:left w:val="single" w:color="BBBBBB" w:sz="1"/>
              <w:bottom w:val="single" w:color="BBBBBB" w:sz="1"/>
              <w:right w:val="single" w:color="BBBBBB" w:sz="1"/>
            </w:tcBorders>
            <w:shd w:fill="FEF9E7" w:val="clear"/>
            <w:tcMar>
              <w:top w:type="dxa" w:w="80"/>
              <w:left w:type="dxa" w:w="120"/>
              <w:bottom w:type="dxa" w:w="80"/>
              <w:right w:type="dxa" w:w="120"/>
            </w:tcMar>
          </w:tcPr>
          <w:p>
            <w:pPr>
              <w:jc w:val="center"/>
            </w:pPr>
            <w:r>
              <w:rPr>
                <w:rFonts w:ascii="Arial" w:cs="Arial" w:eastAsia="Arial" w:hAnsi="Arial"/>
                <w:b/>
                <w:bCs/>
                <w:color w:val="D68910"/>
                <w:sz w:val="16"/>
                <w:szCs w:val="16"/>
              </w:rPr>
              <w:t xml:space="preserve">MEDIA</w:t>
            </w:r>
          </w:p>
        </w:tc>
        <w:tc>
          <w:tcPr>
            <w:tcW w:type="dxa" w:w="6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33333"/>
                <w:sz w:val="18"/>
                <w:szCs w:val="18"/>
              </w:rPr>
              <w:t xml:space="preserve">España mantiene la negativa a ceder Rota y Morón para operaciones ofensivas contra Irán. La prórroga del ultimátum reduce la presión inmediata sobre Madrid. Sánchez publicó hoy en X exigiendo la apertura de Hormuz: 'El mundo no debe pagar las consecuencias de esta guerra'. La fragata Cristóbal Colón continúa desplegada en el Mediterráneo oriental en operación defensiva de la UE.</w:t>
            </w:r>
          </w:p>
        </w:tc>
      </w:tr>
    </w:tbl>
    <w:p>
      <w:pPr>
        <w:spacing w:before="60" w:after="60"/>
      </w:pPr>
      <w:r>
        <w:t xml:space="preserve"/>
      </w:r>
    </w:p>
    <w:p>
      <w:pPr>
        <w:pStyle w:val="Heading1"/>
        <w:pBdr>
          <w:bottom w:val="single" w:color="1F3A6E" w:sz="6" w:space="1"/>
        </w:pBdr>
        <w:spacing w:before="320" w:after="120"/>
      </w:pPr>
      <w:r>
        <w:rPr>
          <w:rFonts w:ascii="Arial" w:cs="Arial" w:eastAsia="Arial" w:hAnsi="Arial"/>
          <w:b/>
          <w:bCs/>
          <w:color w:val="1F3A6E"/>
          <w:sz w:val="28"/>
          <w:szCs w:val="28"/>
        </w:rPr>
        <w:t xml:space="preserve">7. Valoración y veredicto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000"/>
        <w:gridCol w:w="4626"/>
      </w:tblGrid>
      <w:tr>
        <w:tc>
          <w:tcPr>
            <w:tcW w:type="dxa" w:w="3400"/>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pPr>
              <w:jc w:val="left"/>
            </w:pPr>
            <w:r>
              <w:rPr>
                <w:rFonts w:ascii="Arial" w:cs="Arial" w:eastAsia="Arial" w:hAnsi="Arial"/>
                <w:b/>
                <w:bCs/>
                <w:color w:val="FFFFFF"/>
                <w:sz w:val="17"/>
                <w:szCs w:val="17"/>
              </w:rPr>
              <w:t xml:space="preserve">Pregunta maestra</w:t>
            </w:r>
          </w:p>
        </w:tc>
        <w:tc>
          <w:tcPr>
            <w:tcW w:type="dxa" w:w="1000"/>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pPr>
              <w:jc w:val="left"/>
            </w:pPr>
            <w:r>
              <w:rPr>
                <w:rFonts w:ascii="Arial" w:cs="Arial" w:eastAsia="Arial" w:hAnsi="Arial"/>
                <w:b/>
                <w:bCs/>
                <w:color w:val="FFFFFF"/>
                <w:sz w:val="17"/>
                <w:szCs w:val="17"/>
              </w:rPr>
              <w:t xml:space="preserve">Señal</w:t>
            </w:r>
          </w:p>
        </w:tc>
        <w:tc>
          <w:tcPr>
            <w:tcW w:type="dxa" w:w="4626"/>
            <w:tcBorders>
              <w:top w:val="single" w:color="BBBBBB" w:sz="1"/>
              <w:left w:val="single" w:color="BBBBBB" w:sz="1"/>
              <w:bottom w:val="single" w:color="BBBBBB" w:sz="1"/>
              <w:right w:val="single" w:color="BBBBBB" w:sz="1"/>
            </w:tcBorders>
            <w:shd w:fill="1F3A6E" w:val="clear"/>
            <w:tcMar>
              <w:top w:type="dxa" w:w="80"/>
              <w:left w:type="dxa" w:w="120"/>
              <w:bottom w:type="dxa" w:w="80"/>
              <w:right w:type="dxa" w:w="120"/>
            </w:tcMar>
          </w:tcPr>
          <w:p>
            <w:pPr>
              <w:jc w:val="left"/>
            </w:pPr>
            <w:r>
              <w:rPr>
                <w:rFonts w:ascii="Arial" w:cs="Arial" w:eastAsia="Arial" w:hAnsi="Arial"/>
                <w:b/>
                <w:bCs/>
                <w:color w:val="FFFFFF"/>
                <w:sz w:val="17"/>
                <w:szCs w:val="17"/>
              </w:rPr>
              <w:t xml:space="preserve">Evidencia</w:t>
            </w:r>
          </w:p>
        </w:tc>
      </w:tr>
      <w:tr>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222222"/>
                <w:sz w:val="19"/>
                <w:szCs w:val="19"/>
              </w:rPr>
              <w:t xml:space="preserve">¿Sube la energía?</w:t>
            </w:r>
          </w:p>
        </w:tc>
        <w:tc>
          <w:tcPr>
            <w:tcW w:type="dxa" w:w="10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SÍ</w:t>
            </w:r>
          </w:p>
        </w:tc>
        <w:tc>
          <w:tcPr>
            <w:tcW w:type="dxa" w:w="4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444444"/>
                <w:sz w:val="18"/>
                <w:szCs w:val="18"/>
              </w:rPr>
              <w:t xml:space="preserve">Brent $113. Gasolina España: 1,709€/l. IPC marzo: 3,3%. Goldman: precios altos hasta 2027.</w:t>
            </w:r>
          </w:p>
        </w:tc>
      </w:tr>
      <w:tr>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222222"/>
                <w:sz w:val="19"/>
                <w:szCs w:val="19"/>
              </w:rPr>
              <w:t xml:space="preserve">¿Se tensa el transporte marítimo?</w:t>
            </w:r>
          </w:p>
        </w:tc>
        <w:tc>
          <w:tcPr>
            <w:tcW w:type="dxa" w:w="10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SÍ</w:t>
            </w:r>
          </w:p>
        </w:tc>
        <w:tc>
          <w:tcPr>
            <w:tcW w:type="dxa" w:w="4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444444"/>
                <w:sz w:val="18"/>
                <w:szCs w:val="18"/>
              </w:rPr>
              <w:t xml:space="preserve">Ormuz -93%. 20.000 marineros varados. Peajes iraníes en yuanes. 7 muertos.</w:t>
            </w:r>
          </w:p>
        </w:tc>
      </w:tr>
      <w:tr>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222222"/>
                <w:sz w:val="19"/>
                <w:szCs w:val="19"/>
              </w:rPr>
              <w:t xml:space="preserve">¿Aparece miedo financiero?</w:t>
            </w:r>
          </w:p>
        </w:tc>
        <w:tc>
          <w:tcPr>
            <w:tcW w:type="dxa" w:w="10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SÍ</w:t>
            </w:r>
          </w:p>
        </w:tc>
        <w:tc>
          <w:tcPr>
            <w:tcW w:type="dxa" w:w="4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444444"/>
                <w:sz w:val="18"/>
                <w:szCs w:val="18"/>
              </w:rPr>
              <w:t xml:space="preserve">HY spreads +190bp. Euribor en 2,55% (mayor subida diaria en 20 años). Oro en máximos.</w:t>
            </w:r>
          </w:p>
        </w:tc>
      </w:tr>
      <w:tr>
        <w:tc>
          <w:tcPr>
            <w:tcW w:type="dxa" w:w="3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222222"/>
                <w:sz w:val="19"/>
                <w:szCs w:val="19"/>
              </w:rPr>
              <w:t xml:space="preserve">¿Deteriora la actividad real?</w:t>
            </w:r>
          </w:p>
        </w:tc>
        <w:tc>
          <w:tcPr>
            <w:tcW w:type="dxa" w:w="1000"/>
            <w:tcBorders>
              <w:top w:val="single" w:color="BBBBBB" w:sz="1"/>
              <w:left w:val="single" w:color="BBBBBB" w:sz="1"/>
              <w:bottom w:val="single" w:color="BBBBBB" w:sz="1"/>
              <w:right w:val="single" w:color="BBBBBB" w:sz="1"/>
            </w:tcBorders>
            <w:shd w:fill="FDECEA"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SÍ</w:t>
            </w:r>
          </w:p>
        </w:tc>
        <w:tc>
          <w:tcPr>
            <w:tcW w:type="dxa" w:w="46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i/>
                <w:iCs/>
                <w:color w:val="444444"/>
                <w:sz w:val="18"/>
                <w:szCs w:val="18"/>
              </w:rPr>
              <w:t xml:space="preserve">PMI 44,2. Banco de España: escenario severo implica PIB 2027 al 1,1%. Cesta compra en máximos.</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68910" w:sz="12"/>
              <w:left w:val="single" w:color="D68910" w:sz="12"/>
              <w:bottom w:val="single" w:color="D68910" w:sz="12"/>
              <w:right w:val="single" w:color="D68910" w:sz="12"/>
            </w:tcBorders>
            <w:shd w:fill="FEF9E7" w:val="clear"/>
            <w:tcMar>
              <w:top w:type="dxa" w:w="140"/>
              <w:left w:type="dxa" w:w="220"/>
              <w:bottom w:type="dxa" w:w="140"/>
              <w:right w:type="dxa" w:w="220"/>
            </w:tcMar>
          </w:tcPr>
          <w:p>
            <w:pPr>
              <w:spacing w:after="80"/>
            </w:pPr>
            <w:r>
              <w:rPr>
                <w:rFonts w:ascii="Arial" w:cs="Arial" w:eastAsia="Arial" w:hAnsi="Arial"/>
                <w:b/>
                <w:bCs/>
                <w:color w:val="D68910"/>
                <w:sz w:val="20"/>
                <w:szCs w:val="20"/>
              </w:rPr>
              <w:t xml:space="preserve">VEREDICTO — DÍA 29</w:t>
            </w:r>
          </w:p>
          <w:p>
            <w:r>
              <w:rPr>
                <w:rFonts w:ascii="Arial" w:cs="Arial" w:eastAsia="Arial" w:hAnsi="Arial"/>
                <w:color w:val="333333"/>
                <w:sz w:val="19"/>
                <w:szCs w:val="19"/>
              </w:rPr>
              <w:t xml:space="preserve">La extensión del ultimátum y la mediación pakistaní son señales positivas, pero no cambian la estructura del conflicto. Irán ha elevado el precio de la paz al exigir soberanía sobre Hormuz y ha institucionalizado el cobro de peajes — dos condiciones que ningún gobierno occidental puede aceptar. El reloj que importa no es el del ultimátum de Trump (ahora al 2 de abril), sino el del 19 de abril: la fecha en que la pérdida de suministro global se duplica. La ventana diplomática existe pero es estrecha, y cada día que pasa el daño acumulado crece de forma irreversible.</w:t>
            </w:r>
          </w:p>
        </w:tc>
      </w:tr>
    </w:tbl>
    <w:p>
      <w:pPr>
        <w:spacing w:before="60" w:after="60"/>
      </w:pPr>
      <w:r>
        <w:t xml:space="preserve"/>
      </w:r>
    </w:p>
    <w:p>
      <w:pPr>
        <w:spacing w:before="240"/>
        <w:jc w:val="center"/>
      </w:pPr>
      <w:r>
        <w:rPr>
          <w:rFonts w:ascii="Arial" w:cs="Arial" w:eastAsia="Arial" w:hAnsi="Arial"/>
          <w:i/>
          <w:iCs/>
          <w:color w:val="AAAAAA"/>
          <w:sz w:val="16"/>
          <w:szCs w:val="16"/>
        </w:rPr>
        <w:t xml:space="preserve">Agente Geopolítico IA  ·  28 de marzo de 2026  ·  Día 29 del conflicto  ·  Búsqueda en tiempo real</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1"/>
      </w:pBdr>
      <w:tabs>
        <w:tab w:val="right" w:pos="9026"/>
      </w:tabs>
      <w:spacing w:before="80"/>
    </w:pPr>
    <w:r>
      <w:rPr>
        <w:rFonts w:ascii="Arial" w:cs="Arial" w:eastAsia="Arial" w:hAnsi="Arial"/>
        <w:color w:val="AAAAAA"/>
        <w:sz w:val="14"/>
        <w:szCs w:val="14"/>
      </w:rPr>
      <w:t xml:space="preserve">Agente Geopolitico IA - Uso interno</w:t>
    </w:r>
    <w:r>
      <w:rPr>
        <w:rFonts w:ascii="Arial" w:cs="Arial" w:eastAsia="Arial" w:hAnsi="Arial"/>
        <w:color w:val="AAAAAA"/>
        <w:sz w:val="14"/>
        <w:szCs w:val="14"/>
      </w:rPr>
      <w:t xml:space="preserve">	Generado con busqueda en tiempo real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6E" w:sz="4" w:space="1"/>
      </w:pBdr>
      <w:tabs>
        <w:tab w:val="right" w:pos="9026"/>
      </w:tabs>
      <w:spacing w:after="80"/>
    </w:pPr>
    <w:r>
      <w:rPr>
        <w:rFonts w:ascii="Arial" w:cs="Arial" w:eastAsia="Arial" w:hAnsi="Arial"/>
        <w:b/>
        <w:bCs/>
        <w:color w:val="1F3A6E"/>
        <w:sz w:val="16"/>
        <w:szCs w:val="16"/>
      </w:rPr>
      <w:t xml:space="preserve">ANÁLISIS GEOPOLÍTICO · ORMUZ · DÍA 29</w:t>
    </w:r>
    <w:r>
      <w:rPr>
        <w:rFonts w:ascii="Arial" w:cs="Arial" w:eastAsia="Arial" w:hAnsi="Arial"/>
        <w:color w:val="888888"/>
        <w:sz w:val="16"/>
        <w:szCs w:val="16"/>
      </w:rPr>
      <w:t xml:space="preserve">	28 de marzo de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F3A6E"/>
      <w:sz w:val="28"/>
      <w:szCs w:val="28"/>
    </w:rPr>
  </w:style>
  <w:style w:type="paragraph" w:styleId="Heading2">
    <w:name w:val="Heading 2"/>
    <w:basedOn w:val="Normal"/>
    <w:next w:val="Normal"/>
    <w:qFormat/>
    <w:pPr>
      <w:spacing w:before="200" w:after="80"/>
      <w:outlineLvl w:val="1"/>
    </w:pPr>
    <w:rPr>
      <w:rFonts w:ascii="Arial" w:cs="Arial" w:eastAsia="Arial" w:hAnsi="Arial"/>
      <w:b/>
      <w:bCs/>
      <w:color w:val="1F3A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2026-03-28T21:49:52.113Z</dcterms:created>
  <dcterms:modified xsi:type="dcterms:W3CDTF">2026-03-28T21:49:52.114Z</dcterms:modified>
</cp:coreProperties>
</file>

<file path=docProps/custom.xml><?xml version="1.0" encoding="utf-8"?>
<Properties xmlns="http://schemas.openxmlformats.org/officeDocument/2006/custom-properties" xmlns:vt="http://schemas.openxmlformats.org/officeDocument/2006/docPropsVTypes"/>
</file>