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5FAA"/>
          <w:spacing w:val="40"/>
          <w:sz w:val="20"/>
          <w:szCs w:val="20"/>
        </w:rPr>
        <w:t xml:space="preserve">SOUTHERN DRIVE GOLF CO</w:t>
      </w:r>
    </w:p>
    <w:p>
      <w:pPr>
        <w:pStyle w:val="Heading1"/>
        <w:spacing w:after="120"/>
      </w:pPr>
      <w:r>
        <w:rPr>
          <w:b/>
          <w:bCs/>
          <w:color w:val="0A2540"/>
          <w:sz w:val="40"/>
          <w:szCs w:val="40"/>
        </w:rPr>
        <w:t xml:space="preserve">Equipment Build Sheet</w:t>
      </w:r>
    </w:p>
    <w:p>
      <w:pPr>
        <w:pBdr>
          <w:bottom w:val="single" w:color="1B5FAA" w:sz="8" w:space="8"/>
        </w:pBdr>
        <w:spacing w:after="40"/>
      </w:pPr>
      <w:r>
        <w:rPr>
          <w:color w:val="3D4A5C"/>
          <w:sz w:val="19"/>
          <w:szCs w:val="19"/>
        </w:rPr>
        <w:t xml:space="preserve">Mobile golf simulator, Alabama  |  Prepared 13 August 2026  |  For review</w:t>
      </w:r>
    </w:p>
    <w:p>
      <w:pPr>
        <w:spacing w:after="160" w:line="276"/>
      </w:pPr>
      <w:r>
        <w:t xml:space="preserve"> </w:t>
      </w:r>
    </w:p>
    <w:p>
      <w:pPr>
        <w:spacing w:after="140" w:line="276"/>
      </w:pPr>
      <w:r>
        <w:rPr>
          <w:b/>
          <w:bCs/>
          <w:color w:val="0A2540"/>
        </w:rPr>
        <w:t xml:space="preserve">Purpose. </w:t>
      </w:r>
      <w:r>
        <w:t xml:space="preserve">This is the final purchase specification for a mobile golf simulator rental business serving Alabama. Every line was priced against a live listing on 13 August 2026. Several are sale prices and will move, so each should be re-checked on the day of ordering.</w:t>
      </w:r>
    </w:p>
    <w:p>
      <w:pPr>
        <w:spacing w:after="140" w:line="276"/>
      </w:pPr>
      <w:r>
        <w:rPr>
          <w:b/>
          <w:bCs/>
          <w:color w:val="0A2540"/>
        </w:rPr>
        <w:t xml:space="preserve">What to review. </w:t>
      </w:r>
      <w:r>
        <w:t xml:space="preserve">Comments are welcome on any line, but the four decisions carrying the most money are the launch monitor, the projector, the flooring approach, and the deliberate decision not to buy battery power. Reasoning for each follows the table.</w:t>
      </w:r>
    </w:p>
    <w:p>
      <w:pPr>
        <w:pStyle w:val="Heading2"/>
        <w:pBdr>
          <w:bottom w:val="single" w:color="C9D6E4" w:sz="6" w:space="6"/>
        </w:pBdr>
        <w:spacing w:after="140" w:before="320"/>
      </w:pPr>
      <w:r>
        <w:rPr>
          <w:b/>
          <w:bCs/>
          <w:color w:val="0A2540"/>
          <w:sz w:val="28"/>
          <w:szCs w:val="28"/>
        </w:rPr>
        <w:t xml:space="preserve">The build</w:t>
      </w:r>
    </w:p>
    <w:tbl>
      <w:tblPr>
        <w:tblW w:type="dxa" w:w="9360"/>
        <w:tblBorders>
          <w:top w:val="single" w:color="C9D6E4" w:sz="4"/>
          <w:left w:val="single" w:color="C9D6E4" w:sz="4"/>
          <w:bottom w:val="single" w:color="C9D6E4" w:sz="4"/>
          <w:right w:val="single" w:color="C9D6E4" w:sz="4"/>
          <w:insideH w:val="single" w:color="C9D6E4" w:sz="2"/>
          <w:insideV w:val="single" w:color="C9D6E4" w:sz="2"/>
        </w:tblBorders>
      </w:tblPr>
      <w:tblGrid>
        <w:gridCol w:w="520"/>
        <w:gridCol w:w="1700"/>
        <w:gridCol w:w="4200"/>
        <w:gridCol w:w="1100"/>
        <w:gridCol w:w="1840"/>
      </w:tblGrid>
      <w:tr>
        <w:trPr>
          <w:tblHeader/>
        </w:trPr>
        <w:tc>
          <w:tcPr>
            <w:tcW w:type="dxa" w:w="520"/>
            <w:shd w:fill="0A2540" w:color="auto" w:val="clear"/>
            <w:tcMar>
              <w:top w:type="dxa" w:w="90"/>
              <w:left w:type="dxa" w:w="110"/>
              <w:bottom w:type="dxa" w:w="90"/>
              <w:right w:type="dxa" w:w="110"/>
            </w:tcMar>
          </w:tcPr>
          <w:p>
            <w:pPr>
              <w:spacing w:after="0"/>
              <w:jc w:val="left"/>
            </w:pPr>
            <w:r>
              <w:rPr>
                <w:b/>
                <w:bCs/>
                <w:color w:val="FFFFFF"/>
                <w:sz w:val="19"/>
                <w:szCs w:val="19"/>
              </w:rPr>
              <w:t xml:space="preserve">#</w:t>
            </w:r>
          </w:p>
        </w:tc>
        <w:tc>
          <w:tcPr>
            <w:tcW w:type="dxa" w:w="1700"/>
            <w:shd w:fill="0A2540" w:color="auto" w:val="clear"/>
            <w:tcMar>
              <w:top w:type="dxa" w:w="90"/>
              <w:left w:type="dxa" w:w="110"/>
              <w:bottom w:type="dxa" w:w="90"/>
              <w:right w:type="dxa" w:w="110"/>
            </w:tcMar>
          </w:tcPr>
          <w:p>
            <w:pPr>
              <w:spacing w:after="0"/>
              <w:jc w:val="left"/>
            </w:pPr>
            <w:r>
              <w:rPr>
                <w:b/>
                <w:bCs/>
                <w:color w:val="FFFFFF"/>
                <w:sz w:val="19"/>
                <w:szCs w:val="19"/>
              </w:rPr>
              <w:t xml:space="preserve">Item</w:t>
            </w:r>
          </w:p>
        </w:tc>
        <w:tc>
          <w:tcPr>
            <w:tcW w:type="dxa" w:w="4200"/>
            <w:shd w:fill="0A2540" w:color="auto" w:val="clear"/>
            <w:tcMar>
              <w:top w:type="dxa" w:w="90"/>
              <w:left w:type="dxa" w:w="110"/>
              <w:bottom w:type="dxa" w:w="90"/>
              <w:right w:type="dxa" w:w="110"/>
            </w:tcMar>
          </w:tcPr>
          <w:p>
            <w:pPr>
              <w:spacing w:after="0"/>
              <w:jc w:val="left"/>
            </w:pPr>
            <w:r>
              <w:rPr>
                <w:b/>
                <w:bCs/>
                <w:color w:val="FFFFFF"/>
                <w:sz w:val="19"/>
                <w:szCs w:val="19"/>
              </w:rPr>
              <w:t xml:space="preserve">Choice</w:t>
            </w:r>
          </w:p>
        </w:tc>
        <w:tc>
          <w:tcPr>
            <w:tcW w:type="dxa" w:w="1100"/>
            <w:shd w:fill="0A2540" w:color="auto" w:val="clear"/>
            <w:tcMar>
              <w:top w:type="dxa" w:w="90"/>
              <w:left w:type="dxa" w:w="110"/>
              <w:bottom w:type="dxa" w:w="90"/>
              <w:right w:type="dxa" w:w="110"/>
            </w:tcMar>
          </w:tcPr>
          <w:p>
            <w:pPr>
              <w:spacing w:after="0"/>
              <w:jc w:val="right"/>
            </w:pPr>
            <w:r>
              <w:rPr>
                <w:b/>
                <w:bCs/>
                <w:color w:val="FFFFFF"/>
                <w:sz w:val="19"/>
                <w:szCs w:val="19"/>
              </w:rPr>
              <w:t xml:space="preserve">Price</w:t>
            </w:r>
          </w:p>
        </w:tc>
        <w:tc>
          <w:tcPr>
            <w:tcW w:type="dxa" w:w="1840"/>
            <w:shd w:fill="0A2540" w:color="auto" w:val="clear"/>
            <w:tcMar>
              <w:top w:type="dxa" w:w="90"/>
              <w:left w:type="dxa" w:w="110"/>
              <w:bottom w:type="dxa" w:w="90"/>
              <w:right w:type="dxa" w:w="110"/>
            </w:tcMar>
          </w:tcPr>
          <w:p>
            <w:pPr>
              <w:spacing w:after="0"/>
              <w:jc w:val="left"/>
            </w:pPr>
            <w:r>
              <w:rPr>
                <w:b/>
                <w:bCs/>
                <w:color w:val="FFFFFF"/>
                <w:sz w:val="19"/>
                <w:szCs w:val="19"/>
              </w:rPr>
              <w:t xml:space="preserve">Source</w:t>
            </w:r>
          </w:p>
        </w:tc>
      </w:tr>
      <w:tr>
        <w:tc>
          <w:tcPr>
            <w:tcW w:type="dxa" w:w="520"/>
            <w:tcMar>
              <w:top w:type="dxa" w:w="80"/>
              <w:left w:type="dxa" w:w="110"/>
              <w:bottom w:type="dxa" w:w="80"/>
              <w:right w:type="dxa" w:w="110"/>
            </w:tcMar>
          </w:tcPr>
          <w:p>
            <w:pPr>
              <w:spacing w:after="0" w:line="240"/>
              <w:jc w:val="left"/>
            </w:pPr>
            <w:r>
              <w:rPr>
                <w:b w:val="false"/>
                <w:bCs w:val="false"/>
                <w:color w:val="0A2540"/>
                <w:sz w:val="19"/>
                <w:szCs w:val="19"/>
              </w:rPr>
              <w:t xml:space="preserve">1</w:t>
            </w:r>
          </w:p>
        </w:tc>
        <w:tc>
          <w:tcPr>
            <w:tcW w:type="dxa" w:w="1700"/>
            <w:tcMar>
              <w:top w:type="dxa" w:w="80"/>
              <w:left w:type="dxa" w:w="110"/>
              <w:bottom w:type="dxa" w:w="80"/>
              <w:right w:type="dxa" w:w="110"/>
            </w:tcMar>
          </w:tcPr>
          <w:p>
            <w:pPr>
              <w:spacing w:after="0" w:line="240"/>
              <w:jc w:val="left"/>
            </w:pPr>
            <w:r>
              <w:rPr>
                <w:b w:val="false"/>
                <w:bCs w:val="false"/>
                <w:color w:val="0A2540"/>
                <w:sz w:val="19"/>
                <w:szCs w:val="19"/>
              </w:rPr>
              <w:t xml:space="preserve">Enclosure</w:t>
            </w:r>
          </w:p>
        </w:tc>
        <w:tc>
          <w:tcPr>
            <w:tcW w:type="dxa" w:w="4200"/>
            <w:tcMar>
              <w:top w:type="dxa" w:w="80"/>
              <w:left w:type="dxa" w:w="110"/>
              <w:bottom w:type="dxa" w:w="80"/>
              <w:right w:type="dxa" w:w="110"/>
            </w:tcMar>
          </w:tcPr>
          <w:p>
            <w:pPr>
              <w:spacing w:after="0" w:line="240"/>
              <w:jc w:val="left"/>
            </w:pPr>
            <w:r>
              <w:rPr>
                <w:b w:val="false"/>
                <w:bCs w:val="false"/>
                <w:color w:val="0A2540"/>
                <w:sz w:val="19"/>
                <w:szCs w:val="19"/>
              </w:rPr>
              <w:t xml:space="preserve">PopCaddie inflatable ($2,998) + front shade flaps ($200). No peak roof.</w:t>
            </w:r>
          </w:p>
        </w:tc>
        <w:tc>
          <w:tcPr>
            <w:tcW w:type="dxa" w:w="1100"/>
            <w:tcMar>
              <w:top w:type="dxa" w:w="80"/>
              <w:left w:type="dxa" w:w="110"/>
              <w:bottom w:type="dxa" w:w="80"/>
              <w:right w:type="dxa" w:w="110"/>
            </w:tcMar>
          </w:tcPr>
          <w:p>
            <w:pPr>
              <w:spacing w:after="0" w:line="240"/>
              <w:jc w:val="right"/>
            </w:pPr>
            <w:r>
              <w:rPr>
                <w:b w:val="false"/>
                <w:bCs w:val="false"/>
                <w:color w:val="0A2540"/>
                <w:sz w:val="19"/>
                <w:szCs w:val="19"/>
              </w:rPr>
              <w:t xml:space="preserve">$3,198</w:t>
            </w:r>
          </w:p>
        </w:tc>
        <w:tc>
          <w:tcPr>
            <w:tcW w:type="dxa" w:w="1840"/>
            <w:tcMar>
              <w:top w:type="dxa" w:w="80"/>
              <w:left w:type="dxa" w:w="110"/>
              <w:bottom w:type="dxa" w:w="80"/>
              <w:right w:type="dxa" w:w="110"/>
            </w:tcMar>
          </w:tcPr>
          <w:p>
            <w:pPr>
              <w:spacing w:after="0" w:line="240"/>
              <w:jc w:val="left"/>
            </w:pPr>
            <w:r>
              <w:rPr>
                <w:b w:val="false"/>
                <w:bCs w:val="false"/>
                <w:color w:val="0A2540"/>
                <w:sz w:val="19"/>
                <w:szCs w:val="19"/>
              </w:rPr>
              <w:t xml:space="preserve">popcaddie.com</w:t>
            </w:r>
          </w:p>
        </w:tc>
      </w:tr>
      <w:tr>
        <w:tc>
          <w:tcPr>
            <w:tcW w:type="dxa" w:w="52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2</w:t>
            </w:r>
          </w:p>
        </w:tc>
        <w:tc>
          <w:tcPr>
            <w:tcW w:type="dxa" w:w="170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Import</w:t>
            </w:r>
          </w:p>
        </w:tc>
        <w:tc>
          <w:tcPr>
            <w:tcW w:type="dxa" w:w="420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Customs and duties, billed by FedEx after delivery</w:t>
            </w:r>
          </w:p>
        </w:tc>
        <w:tc>
          <w:tcPr>
            <w:tcW w:type="dxa" w:w="1100"/>
            <w:shd w:fill="EEF5FB" w:color="auto" w:val="clear"/>
            <w:tcMar>
              <w:top w:type="dxa" w:w="80"/>
              <w:left w:type="dxa" w:w="110"/>
              <w:bottom w:type="dxa" w:w="80"/>
              <w:right w:type="dxa" w:w="110"/>
            </w:tcMar>
          </w:tcPr>
          <w:p>
            <w:pPr>
              <w:spacing w:after="0" w:line="240"/>
              <w:jc w:val="right"/>
            </w:pPr>
            <w:r>
              <w:rPr>
                <w:b w:val="false"/>
                <w:bCs w:val="false"/>
                <w:color w:val="0A2540"/>
                <w:sz w:val="19"/>
                <w:szCs w:val="19"/>
              </w:rPr>
              <w:t xml:space="preserve">~$130</w:t>
            </w:r>
          </w:p>
        </w:tc>
        <w:tc>
          <w:tcPr>
            <w:tcW w:type="dxa" w:w="184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see notes</w:t>
            </w:r>
          </w:p>
        </w:tc>
      </w:tr>
      <w:tr>
        <w:tc>
          <w:tcPr>
            <w:tcW w:type="dxa" w:w="520"/>
            <w:tcMar>
              <w:top w:type="dxa" w:w="80"/>
              <w:left w:type="dxa" w:w="110"/>
              <w:bottom w:type="dxa" w:w="80"/>
              <w:right w:type="dxa" w:w="110"/>
            </w:tcMar>
          </w:tcPr>
          <w:p>
            <w:pPr>
              <w:spacing w:after="0" w:line="240"/>
              <w:jc w:val="left"/>
            </w:pPr>
            <w:r>
              <w:rPr>
                <w:b w:val="false"/>
                <w:bCs w:val="false"/>
                <w:color w:val="0A2540"/>
                <w:sz w:val="19"/>
                <w:szCs w:val="19"/>
              </w:rPr>
              <w:t xml:space="preserve">3</w:t>
            </w:r>
          </w:p>
        </w:tc>
        <w:tc>
          <w:tcPr>
            <w:tcW w:type="dxa" w:w="1700"/>
            <w:tcMar>
              <w:top w:type="dxa" w:w="80"/>
              <w:left w:type="dxa" w:w="110"/>
              <w:bottom w:type="dxa" w:w="80"/>
              <w:right w:type="dxa" w:w="110"/>
            </w:tcMar>
          </w:tcPr>
          <w:p>
            <w:pPr>
              <w:spacing w:after="0" w:line="240"/>
              <w:jc w:val="left"/>
            </w:pPr>
            <w:r>
              <w:rPr>
                <w:b w:val="false"/>
                <w:bCs w:val="false"/>
                <w:color w:val="0A2540"/>
                <w:sz w:val="19"/>
                <w:szCs w:val="19"/>
              </w:rPr>
              <w:t xml:space="preserve">Launch monitor</w:t>
            </w:r>
          </w:p>
        </w:tc>
        <w:tc>
          <w:tcPr>
            <w:tcW w:type="dxa" w:w="4200"/>
            <w:tcMar>
              <w:top w:type="dxa" w:w="80"/>
              <w:left w:type="dxa" w:w="110"/>
              <w:bottom w:type="dxa" w:w="80"/>
              <w:right w:type="dxa" w:w="110"/>
            </w:tcMar>
          </w:tcPr>
          <w:p>
            <w:pPr>
              <w:spacing w:after="0" w:line="240"/>
              <w:jc w:val="left"/>
            </w:pPr>
            <w:r>
              <w:rPr>
                <w:b w:val="false"/>
                <w:bCs w:val="false"/>
                <w:color w:val="0A2540"/>
                <w:sz w:val="19"/>
                <w:szCs w:val="19"/>
              </w:rPr>
              <w:t xml:space="preserve">Bushnell Launch Pro (Foresight GC3 hardware)</w:t>
            </w:r>
          </w:p>
        </w:tc>
        <w:tc>
          <w:tcPr>
            <w:tcW w:type="dxa" w:w="1100"/>
            <w:tcMar>
              <w:top w:type="dxa" w:w="80"/>
              <w:left w:type="dxa" w:w="110"/>
              <w:bottom w:type="dxa" w:w="80"/>
              <w:right w:type="dxa" w:w="110"/>
            </w:tcMar>
          </w:tcPr>
          <w:p>
            <w:pPr>
              <w:spacing w:after="0" w:line="240"/>
              <w:jc w:val="right"/>
            </w:pPr>
            <w:r>
              <w:rPr>
                <w:b w:val="false"/>
                <w:bCs w:val="false"/>
                <w:color w:val="0A2540"/>
                <w:sz w:val="19"/>
                <w:szCs w:val="19"/>
              </w:rPr>
              <w:t xml:space="preserve">$2,999</w:t>
            </w:r>
          </w:p>
        </w:tc>
        <w:tc>
          <w:tcPr>
            <w:tcW w:type="dxa" w:w="1840"/>
            <w:tcMar>
              <w:top w:type="dxa" w:w="80"/>
              <w:left w:type="dxa" w:w="110"/>
              <w:bottom w:type="dxa" w:w="80"/>
              <w:right w:type="dxa" w:w="110"/>
            </w:tcMar>
          </w:tcPr>
          <w:p>
            <w:pPr>
              <w:spacing w:after="0" w:line="240"/>
              <w:jc w:val="left"/>
            </w:pPr>
            <w:r>
              <w:rPr>
                <w:b w:val="false"/>
                <w:bCs w:val="false"/>
                <w:color w:val="0A2540"/>
                <w:sz w:val="19"/>
                <w:szCs w:val="19"/>
              </w:rPr>
              <w:t xml:space="preserve">PlayBetter</w:t>
            </w:r>
          </w:p>
        </w:tc>
      </w:tr>
      <w:tr>
        <w:tc>
          <w:tcPr>
            <w:tcW w:type="dxa" w:w="52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4</w:t>
            </w:r>
          </w:p>
        </w:tc>
        <w:tc>
          <w:tcPr>
            <w:tcW w:type="dxa" w:w="170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Monitor plan, yr 1</w:t>
            </w:r>
          </w:p>
        </w:tc>
        <w:tc>
          <w:tcPr>
            <w:tcW w:type="dxa" w:w="420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Bushnell Silver</w:t>
            </w:r>
          </w:p>
        </w:tc>
        <w:tc>
          <w:tcPr>
            <w:tcW w:type="dxa" w:w="1100"/>
            <w:shd w:fill="EEF5FB" w:color="auto" w:val="clear"/>
            <w:tcMar>
              <w:top w:type="dxa" w:w="80"/>
              <w:left w:type="dxa" w:w="110"/>
              <w:bottom w:type="dxa" w:w="80"/>
              <w:right w:type="dxa" w:w="110"/>
            </w:tcMar>
          </w:tcPr>
          <w:p>
            <w:pPr>
              <w:spacing w:after="0" w:line="240"/>
              <w:jc w:val="right"/>
            </w:pPr>
            <w:r>
              <w:rPr>
                <w:b w:val="false"/>
                <w:bCs w:val="false"/>
                <w:color w:val="0A2540"/>
                <w:sz w:val="19"/>
                <w:szCs w:val="19"/>
              </w:rPr>
              <w:t xml:space="preserve">$200</w:t>
            </w:r>
          </w:p>
        </w:tc>
        <w:tc>
          <w:tcPr>
            <w:tcW w:type="dxa" w:w="184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PlayBetter</w:t>
            </w:r>
          </w:p>
        </w:tc>
      </w:tr>
      <w:tr>
        <w:tc>
          <w:tcPr>
            <w:tcW w:type="dxa" w:w="520"/>
            <w:tcMar>
              <w:top w:type="dxa" w:w="80"/>
              <w:left w:type="dxa" w:w="110"/>
              <w:bottom w:type="dxa" w:w="80"/>
              <w:right w:type="dxa" w:w="110"/>
            </w:tcMar>
          </w:tcPr>
          <w:p>
            <w:pPr>
              <w:spacing w:after="0" w:line="240"/>
              <w:jc w:val="left"/>
            </w:pPr>
            <w:r>
              <w:rPr>
                <w:b w:val="false"/>
                <w:bCs w:val="false"/>
                <w:color w:val="0A2540"/>
                <w:sz w:val="19"/>
                <w:szCs w:val="19"/>
              </w:rPr>
              <w:t xml:space="preserve">5</w:t>
            </w:r>
          </w:p>
        </w:tc>
        <w:tc>
          <w:tcPr>
            <w:tcW w:type="dxa" w:w="1700"/>
            <w:tcMar>
              <w:top w:type="dxa" w:w="80"/>
              <w:left w:type="dxa" w:w="110"/>
              <w:bottom w:type="dxa" w:w="80"/>
              <w:right w:type="dxa" w:w="110"/>
            </w:tcMar>
          </w:tcPr>
          <w:p>
            <w:pPr>
              <w:spacing w:after="0" w:line="240"/>
              <w:jc w:val="left"/>
            </w:pPr>
            <w:r>
              <w:rPr>
                <w:b w:val="false"/>
                <w:bCs w:val="false"/>
                <w:color w:val="0A2540"/>
                <w:sz w:val="19"/>
                <w:szCs w:val="19"/>
              </w:rPr>
              <w:t xml:space="preserve">Projector</w:t>
            </w:r>
          </w:p>
        </w:tc>
        <w:tc>
          <w:tcPr>
            <w:tcW w:type="dxa" w:w="4200"/>
            <w:tcMar>
              <w:top w:type="dxa" w:w="80"/>
              <w:left w:type="dxa" w:w="110"/>
              <w:bottom w:type="dxa" w:w="80"/>
              <w:right w:type="dxa" w:w="110"/>
            </w:tcMar>
          </w:tcPr>
          <w:p>
            <w:pPr>
              <w:spacing w:after="0" w:line="240"/>
              <w:jc w:val="left"/>
            </w:pPr>
            <w:r>
              <w:rPr>
                <w:b w:val="false"/>
                <w:bCs w:val="false"/>
                <w:color w:val="0A2540"/>
                <w:sz w:val="19"/>
                <w:szCs w:val="19"/>
              </w:rPr>
              <w:t xml:space="preserve">BenQ AK700ST 4K laser short throw, 4,000 lumens</w:t>
            </w:r>
          </w:p>
        </w:tc>
        <w:tc>
          <w:tcPr>
            <w:tcW w:type="dxa" w:w="1100"/>
            <w:tcMar>
              <w:top w:type="dxa" w:w="80"/>
              <w:left w:type="dxa" w:w="110"/>
              <w:bottom w:type="dxa" w:w="80"/>
              <w:right w:type="dxa" w:w="110"/>
            </w:tcMar>
          </w:tcPr>
          <w:p>
            <w:pPr>
              <w:spacing w:after="0" w:line="240"/>
              <w:jc w:val="right"/>
            </w:pPr>
            <w:r>
              <w:rPr>
                <w:b w:val="false"/>
                <w:bCs w:val="false"/>
                <w:color w:val="0A2540"/>
                <w:sz w:val="19"/>
                <w:szCs w:val="19"/>
              </w:rPr>
              <w:t xml:space="preserve">$2,899</w:t>
            </w:r>
          </w:p>
        </w:tc>
        <w:tc>
          <w:tcPr>
            <w:tcW w:type="dxa" w:w="1840"/>
            <w:tcMar>
              <w:top w:type="dxa" w:w="80"/>
              <w:left w:type="dxa" w:w="110"/>
              <w:bottom w:type="dxa" w:w="80"/>
              <w:right w:type="dxa" w:w="110"/>
            </w:tcMar>
          </w:tcPr>
          <w:p>
            <w:pPr>
              <w:spacing w:after="0" w:line="240"/>
              <w:jc w:val="left"/>
            </w:pPr>
            <w:r>
              <w:rPr>
                <w:b w:val="false"/>
                <w:bCs w:val="false"/>
                <w:color w:val="0A2540"/>
                <w:sz w:val="19"/>
                <w:szCs w:val="19"/>
              </w:rPr>
              <w:t xml:space="preserve">PlayBetter</w:t>
            </w:r>
          </w:p>
        </w:tc>
      </w:tr>
      <w:tr>
        <w:tc>
          <w:tcPr>
            <w:tcW w:type="dxa" w:w="52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6</w:t>
            </w:r>
          </w:p>
        </w:tc>
        <w:tc>
          <w:tcPr>
            <w:tcW w:type="dxa" w:w="170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Computer</w:t>
            </w:r>
          </w:p>
        </w:tc>
        <w:tc>
          <w:tcPr>
            <w:tcW w:type="dxa" w:w="420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Already owned: RTX 3060 Ti, Ryzen 5 5600G, 16 GB DDR4</w:t>
            </w:r>
          </w:p>
        </w:tc>
        <w:tc>
          <w:tcPr>
            <w:tcW w:type="dxa" w:w="1100"/>
            <w:shd w:fill="EEF5FB" w:color="auto" w:val="clear"/>
            <w:tcMar>
              <w:top w:type="dxa" w:w="80"/>
              <w:left w:type="dxa" w:w="110"/>
              <w:bottom w:type="dxa" w:w="80"/>
              <w:right w:type="dxa" w:w="110"/>
            </w:tcMar>
          </w:tcPr>
          <w:p>
            <w:pPr>
              <w:spacing w:after="0" w:line="240"/>
              <w:jc w:val="right"/>
            </w:pPr>
            <w:r>
              <w:rPr>
                <w:b w:val="false"/>
                <w:bCs w:val="false"/>
                <w:color w:val="0A2540"/>
                <w:sz w:val="19"/>
                <w:szCs w:val="19"/>
              </w:rPr>
              <w:t xml:space="preserve">$0</w:t>
            </w:r>
          </w:p>
        </w:tc>
        <w:tc>
          <w:tcPr>
            <w:tcW w:type="dxa" w:w="184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see notes</w:t>
            </w:r>
          </w:p>
        </w:tc>
      </w:tr>
      <w:tr>
        <w:tc>
          <w:tcPr>
            <w:tcW w:type="dxa" w:w="520"/>
            <w:tcMar>
              <w:top w:type="dxa" w:w="80"/>
              <w:left w:type="dxa" w:w="110"/>
              <w:bottom w:type="dxa" w:w="80"/>
              <w:right w:type="dxa" w:w="110"/>
            </w:tcMar>
          </w:tcPr>
          <w:p>
            <w:pPr>
              <w:spacing w:after="0" w:line="240"/>
              <w:jc w:val="left"/>
            </w:pPr>
            <w:r>
              <w:rPr>
                <w:b w:val="false"/>
                <w:bCs w:val="false"/>
                <w:color w:val="0A2540"/>
                <w:sz w:val="19"/>
                <w:szCs w:val="19"/>
              </w:rPr>
              <w:t xml:space="preserve">7</w:t>
            </w:r>
          </w:p>
        </w:tc>
        <w:tc>
          <w:tcPr>
            <w:tcW w:type="dxa" w:w="1700"/>
            <w:tcMar>
              <w:top w:type="dxa" w:w="80"/>
              <w:left w:type="dxa" w:w="110"/>
              <w:bottom w:type="dxa" w:w="80"/>
              <w:right w:type="dxa" w:w="110"/>
            </w:tcMar>
          </w:tcPr>
          <w:p>
            <w:pPr>
              <w:spacing w:after="0" w:line="240"/>
              <w:jc w:val="left"/>
            </w:pPr>
            <w:r>
              <w:rPr>
                <w:b w:val="false"/>
                <w:bCs w:val="false"/>
                <w:color w:val="0A2540"/>
                <w:sz w:val="19"/>
                <w:szCs w:val="19"/>
              </w:rPr>
              <w:t xml:space="preserve">Sun control</w:t>
            </w:r>
          </w:p>
        </w:tc>
        <w:tc>
          <w:tcPr>
            <w:tcW w:type="dxa" w:w="4200"/>
            <w:tcMar>
              <w:top w:type="dxa" w:w="80"/>
              <w:left w:type="dxa" w:w="110"/>
              <w:bottom w:type="dxa" w:w="80"/>
              <w:right w:type="dxa" w:w="110"/>
            </w:tcMar>
          </w:tcPr>
          <w:p>
            <w:pPr>
              <w:spacing w:after="0" w:line="240"/>
              <w:jc w:val="left"/>
            </w:pPr>
            <w:r>
              <w:rPr>
                <w:b w:val="false"/>
                <w:bCs w:val="false"/>
                <w:color w:val="0A2540"/>
                <w:sz w:val="19"/>
                <w:szCs w:val="19"/>
              </w:rPr>
              <w:t xml:space="preserve">Crown Shades 12x12 pop-up, black, 1 sidewall</w:t>
            </w:r>
          </w:p>
        </w:tc>
        <w:tc>
          <w:tcPr>
            <w:tcW w:type="dxa" w:w="1100"/>
            <w:tcMar>
              <w:top w:type="dxa" w:w="80"/>
              <w:left w:type="dxa" w:w="110"/>
              <w:bottom w:type="dxa" w:w="80"/>
              <w:right w:type="dxa" w:w="110"/>
            </w:tcMar>
          </w:tcPr>
          <w:p>
            <w:pPr>
              <w:spacing w:after="0" w:line="240"/>
              <w:jc w:val="right"/>
            </w:pPr>
            <w:r>
              <w:rPr>
                <w:b w:val="false"/>
                <w:bCs w:val="false"/>
                <w:color w:val="0A2540"/>
                <w:sz w:val="19"/>
                <w:szCs w:val="19"/>
              </w:rPr>
              <w:t xml:space="preserve">$250</w:t>
            </w:r>
          </w:p>
        </w:tc>
        <w:tc>
          <w:tcPr>
            <w:tcW w:type="dxa" w:w="1840"/>
            <w:tcMar>
              <w:top w:type="dxa" w:w="80"/>
              <w:left w:type="dxa" w:w="110"/>
              <w:bottom w:type="dxa" w:w="80"/>
              <w:right w:type="dxa" w:w="110"/>
            </w:tcMar>
          </w:tcPr>
          <w:p>
            <w:pPr>
              <w:spacing w:after="0" w:line="240"/>
              <w:jc w:val="left"/>
            </w:pPr>
            <w:r>
              <w:rPr>
                <w:b w:val="false"/>
                <w:bCs w:val="false"/>
                <w:color w:val="0A2540"/>
                <w:sz w:val="19"/>
                <w:szCs w:val="19"/>
              </w:rPr>
              <w:t xml:space="preserve">crown-outdoor.com</w:t>
            </w:r>
          </w:p>
        </w:tc>
      </w:tr>
      <w:tr>
        <w:tc>
          <w:tcPr>
            <w:tcW w:type="dxa" w:w="52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8</w:t>
            </w:r>
          </w:p>
        </w:tc>
        <w:tc>
          <w:tcPr>
            <w:tcW w:type="dxa" w:w="170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Hitting mat</w:t>
            </w:r>
          </w:p>
        </w:tc>
        <w:tc>
          <w:tcPr>
            <w:tcW w:type="dxa" w:w="420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Bearwill 31 mm, 5'x5', 6 tee positions both handed, 150,000-hit rating</w:t>
            </w:r>
          </w:p>
        </w:tc>
        <w:tc>
          <w:tcPr>
            <w:tcW w:type="dxa" w:w="1100"/>
            <w:shd w:fill="EEF5FB" w:color="auto" w:val="clear"/>
            <w:tcMar>
              <w:top w:type="dxa" w:w="80"/>
              <w:left w:type="dxa" w:w="110"/>
              <w:bottom w:type="dxa" w:w="80"/>
              <w:right w:type="dxa" w:w="110"/>
            </w:tcMar>
          </w:tcPr>
          <w:p>
            <w:pPr>
              <w:spacing w:after="0" w:line="240"/>
              <w:jc w:val="right"/>
            </w:pPr>
            <w:r>
              <w:rPr>
                <w:b w:val="false"/>
                <w:bCs w:val="false"/>
                <w:color w:val="0A2540"/>
                <w:sz w:val="19"/>
                <w:szCs w:val="19"/>
              </w:rPr>
              <w:t xml:space="preserve">$199</w:t>
            </w:r>
          </w:p>
        </w:tc>
        <w:tc>
          <w:tcPr>
            <w:tcW w:type="dxa" w:w="184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Amazon B0DSFCNCMY</w:t>
            </w:r>
          </w:p>
        </w:tc>
      </w:tr>
      <w:tr>
        <w:tc>
          <w:tcPr>
            <w:tcW w:type="dxa" w:w="520"/>
            <w:tcMar>
              <w:top w:type="dxa" w:w="80"/>
              <w:left w:type="dxa" w:w="110"/>
              <w:bottom w:type="dxa" w:w="80"/>
              <w:right w:type="dxa" w:w="110"/>
            </w:tcMar>
          </w:tcPr>
          <w:p>
            <w:pPr>
              <w:spacing w:after="0" w:line="240"/>
              <w:jc w:val="left"/>
            </w:pPr>
            <w:r>
              <w:rPr>
                <w:b w:val="false"/>
                <w:bCs w:val="false"/>
                <w:color w:val="0A2540"/>
                <w:sz w:val="19"/>
                <w:szCs w:val="19"/>
              </w:rPr>
              <w:t xml:space="preserve">9</w:t>
            </w:r>
          </w:p>
        </w:tc>
        <w:tc>
          <w:tcPr>
            <w:tcW w:type="dxa" w:w="1700"/>
            <w:tcMar>
              <w:top w:type="dxa" w:w="80"/>
              <w:left w:type="dxa" w:w="110"/>
              <w:bottom w:type="dxa" w:w="80"/>
              <w:right w:type="dxa" w:w="110"/>
            </w:tcMar>
          </w:tcPr>
          <w:p>
            <w:pPr>
              <w:spacing w:after="0" w:line="240"/>
              <w:jc w:val="left"/>
            </w:pPr>
            <w:r>
              <w:rPr>
                <w:b w:val="false"/>
                <w:bCs w:val="false"/>
                <w:color w:val="0A2540"/>
                <w:sz w:val="19"/>
                <w:szCs w:val="19"/>
              </w:rPr>
              <w:t xml:space="preserve">Flooring</w:t>
            </w:r>
          </w:p>
        </w:tc>
        <w:tc>
          <w:tcPr>
            <w:tcW w:type="dxa" w:w="4200"/>
            <w:tcMar>
              <w:top w:type="dxa" w:w="80"/>
              <w:left w:type="dxa" w:w="110"/>
              <w:bottom w:type="dxa" w:w="80"/>
              <w:right w:type="dxa" w:w="110"/>
            </w:tcMar>
          </w:tcPr>
          <w:p>
            <w:pPr>
              <w:spacing w:after="0" w:line="240"/>
              <w:jc w:val="left"/>
            </w:pPr>
            <w:r>
              <w:rPr>
                <w:b w:val="false"/>
                <w:bCs w:val="false"/>
                <w:color w:val="0A2540"/>
                <w:sz w:val="19"/>
                <w:szCs w:val="19"/>
              </w:rPr>
              <w:t xml:space="preserve">Low-pile artificial turf, full interior, ~206 sq ft</w:t>
            </w:r>
          </w:p>
        </w:tc>
        <w:tc>
          <w:tcPr>
            <w:tcW w:type="dxa" w:w="1100"/>
            <w:tcMar>
              <w:top w:type="dxa" w:w="80"/>
              <w:left w:type="dxa" w:w="110"/>
              <w:bottom w:type="dxa" w:w="80"/>
              <w:right w:type="dxa" w:w="110"/>
            </w:tcMar>
          </w:tcPr>
          <w:p>
            <w:pPr>
              <w:spacing w:after="0" w:line="240"/>
              <w:jc w:val="right"/>
            </w:pPr>
            <w:r>
              <w:rPr>
                <w:b w:val="false"/>
                <w:bCs w:val="false"/>
                <w:color w:val="0A2540"/>
                <w:sz w:val="19"/>
                <w:szCs w:val="19"/>
              </w:rPr>
              <w:t xml:space="preserve">$367</w:t>
            </w:r>
          </w:p>
        </w:tc>
        <w:tc>
          <w:tcPr>
            <w:tcW w:type="dxa" w:w="1840"/>
            <w:tcMar>
              <w:top w:type="dxa" w:w="80"/>
              <w:left w:type="dxa" w:w="110"/>
              <w:bottom w:type="dxa" w:w="80"/>
              <w:right w:type="dxa" w:w="110"/>
            </w:tcMar>
          </w:tcPr>
          <w:p>
            <w:pPr>
              <w:spacing w:after="0" w:line="240"/>
              <w:jc w:val="left"/>
            </w:pPr>
            <w:r>
              <w:rPr>
                <w:b w:val="false"/>
                <w:bCs w:val="false"/>
                <w:color w:val="0A2540"/>
                <w:sz w:val="19"/>
                <w:szCs w:val="19"/>
              </w:rPr>
              <w:t xml:space="preserve">Home Depot / Lowe's</w:t>
            </w:r>
          </w:p>
        </w:tc>
      </w:tr>
      <w:tr>
        <w:tc>
          <w:tcPr>
            <w:tcW w:type="dxa" w:w="52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9b</w:t>
            </w:r>
          </w:p>
        </w:tc>
        <w:tc>
          <w:tcPr>
            <w:tcW w:type="dxa" w:w="170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Floor protection</w:t>
            </w:r>
          </w:p>
        </w:tc>
        <w:tc>
          <w:tcPr>
            <w:tcW w:type="dxa" w:w="420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Interlocking EVA foam tiles, ~112 sq ft. Indoor bookings only.</w:t>
            </w:r>
          </w:p>
        </w:tc>
        <w:tc>
          <w:tcPr>
            <w:tcW w:type="dxa" w:w="1100"/>
            <w:shd w:fill="EEF5FB" w:color="auto" w:val="clear"/>
            <w:tcMar>
              <w:top w:type="dxa" w:w="80"/>
              <w:left w:type="dxa" w:w="110"/>
              <w:bottom w:type="dxa" w:w="80"/>
              <w:right w:type="dxa" w:w="110"/>
            </w:tcMar>
          </w:tcPr>
          <w:p>
            <w:pPr>
              <w:spacing w:after="0" w:line="240"/>
              <w:jc w:val="right"/>
            </w:pPr>
            <w:r>
              <w:rPr>
                <w:b w:val="false"/>
                <w:bCs w:val="false"/>
                <w:color w:val="0A2540"/>
                <w:sz w:val="19"/>
                <w:szCs w:val="19"/>
              </w:rPr>
              <w:t xml:space="preserve">$110</w:t>
            </w:r>
          </w:p>
        </w:tc>
        <w:tc>
          <w:tcPr>
            <w:tcW w:type="dxa" w:w="184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see notes</w:t>
            </w:r>
          </w:p>
        </w:tc>
      </w:tr>
      <w:tr>
        <w:tc>
          <w:tcPr>
            <w:tcW w:type="dxa" w:w="520"/>
            <w:tcMar>
              <w:top w:type="dxa" w:w="80"/>
              <w:left w:type="dxa" w:w="110"/>
              <w:bottom w:type="dxa" w:w="80"/>
              <w:right w:type="dxa" w:w="110"/>
            </w:tcMar>
          </w:tcPr>
          <w:p>
            <w:pPr>
              <w:spacing w:after="0" w:line="240"/>
              <w:jc w:val="left"/>
            </w:pPr>
            <w:r>
              <w:rPr>
                <w:b w:val="false"/>
                <w:bCs w:val="false"/>
                <w:color w:val="0A2540"/>
                <w:sz w:val="19"/>
                <w:szCs w:val="19"/>
              </w:rPr>
              <w:t xml:space="preserve">9c</w:t>
            </w:r>
          </w:p>
        </w:tc>
        <w:tc>
          <w:tcPr>
            <w:tcW w:type="dxa" w:w="1700"/>
            <w:tcMar>
              <w:top w:type="dxa" w:w="80"/>
              <w:left w:type="dxa" w:w="110"/>
              <w:bottom w:type="dxa" w:w="80"/>
              <w:right w:type="dxa" w:w="110"/>
            </w:tcMar>
          </w:tcPr>
          <w:p>
            <w:pPr>
              <w:spacing w:after="0" w:line="240"/>
              <w:jc w:val="left"/>
            </w:pPr>
            <w:r>
              <w:rPr>
                <w:b w:val="false"/>
                <w:bCs w:val="false"/>
                <w:color w:val="0A2540"/>
                <w:sz w:val="19"/>
                <w:szCs w:val="19"/>
              </w:rPr>
              <w:t xml:space="preserve">Ground sheet</w:t>
            </w:r>
          </w:p>
        </w:tc>
        <w:tc>
          <w:tcPr>
            <w:tcW w:type="dxa" w:w="4200"/>
            <w:tcMar>
              <w:top w:type="dxa" w:w="80"/>
              <w:left w:type="dxa" w:w="110"/>
              <w:bottom w:type="dxa" w:w="80"/>
              <w:right w:type="dxa" w:w="110"/>
            </w:tcMar>
          </w:tcPr>
          <w:p>
            <w:pPr>
              <w:spacing w:after="0" w:line="240"/>
              <w:jc w:val="left"/>
            </w:pPr>
            <w:r>
              <w:rPr>
                <w:b w:val="false"/>
                <w:bCs w:val="false"/>
                <w:color w:val="0A2540"/>
                <w:sz w:val="19"/>
                <w:szCs w:val="19"/>
              </w:rPr>
              <w:t xml:space="preserve">Heavy tarp for grass and gravel setups</w:t>
            </w:r>
          </w:p>
        </w:tc>
        <w:tc>
          <w:tcPr>
            <w:tcW w:type="dxa" w:w="1100"/>
            <w:tcMar>
              <w:top w:type="dxa" w:w="80"/>
              <w:left w:type="dxa" w:w="110"/>
              <w:bottom w:type="dxa" w:w="80"/>
              <w:right w:type="dxa" w:w="110"/>
            </w:tcMar>
          </w:tcPr>
          <w:p>
            <w:pPr>
              <w:spacing w:after="0" w:line="240"/>
              <w:jc w:val="right"/>
            </w:pPr>
            <w:r>
              <w:rPr>
                <w:b w:val="false"/>
                <w:bCs w:val="false"/>
                <w:color w:val="0A2540"/>
                <w:sz w:val="19"/>
                <w:szCs w:val="19"/>
              </w:rPr>
              <w:t xml:space="preserve">$35</w:t>
            </w:r>
          </w:p>
        </w:tc>
        <w:tc>
          <w:tcPr>
            <w:tcW w:type="dxa" w:w="1840"/>
            <w:tcMar>
              <w:top w:type="dxa" w:w="80"/>
              <w:left w:type="dxa" w:w="110"/>
              <w:bottom w:type="dxa" w:w="80"/>
              <w:right w:type="dxa" w:w="110"/>
            </w:tcMar>
          </w:tcPr>
          <w:p>
            <w:pPr>
              <w:spacing w:after="0" w:line="240"/>
              <w:jc w:val="left"/>
            </w:pPr>
            <w:r>
              <w:rPr>
                <w:b w:val="false"/>
                <w:bCs w:val="false"/>
                <w:color w:val="0A2540"/>
                <w:sz w:val="19"/>
                <w:szCs w:val="19"/>
              </w:rPr>
              <w:t xml:space="preserve">any hardware store</w:t>
            </w:r>
          </w:p>
        </w:tc>
      </w:tr>
      <w:tr>
        <w:tc>
          <w:tcPr>
            <w:tcW w:type="dxa" w:w="52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10</w:t>
            </w:r>
          </w:p>
        </w:tc>
        <w:tc>
          <w:tcPr>
            <w:tcW w:type="dxa" w:w="170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Power</w:t>
            </w:r>
          </w:p>
        </w:tc>
        <w:tc>
          <w:tcPr>
            <w:tcW w:type="dxa" w:w="420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100 ft 12-gauge extension cord; shore power required in quotes</w:t>
            </w:r>
          </w:p>
        </w:tc>
        <w:tc>
          <w:tcPr>
            <w:tcW w:type="dxa" w:w="1100"/>
            <w:shd w:fill="EEF5FB" w:color="auto" w:val="clear"/>
            <w:tcMar>
              <w:top w:type="dxa" w:w="80"/>
              <w:left w:type="dxa" w:w="110"/>
              <w:bottom w:type="dxa" w:w="80"/>
              <w:right w:type="dxa" w:w="110"/>
            </w:tcMar>
          </w:tcPr>
          <w:p>
            <w:pPr>
              <w:spacing w:after="0" w:line="240"/>
              <w:jc w:val="right"/>
            </w:pPr>
            <w:r>
              <w:rPr>
                <w:b w:val="false"/>
                <w:bCs w:val="false"/>
                <w:color w:val="0A2540"/>
                <w:sz w:val="19"/>
                <w:szCs w:val="19"/>
              </w:rPr>
              <w:t xml:space="preserve">$70</w:t>
            </w:r>
          </w:p>
        </w:tc>
        <w:tc>
          <w:tcPr>
            <w:tcW w:type="dxa" w:w="184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see notes</w:t>
            </w:r>
          </w:p>
        </w:tc>
      </w:tr>
      <w:tr>
        <w:tc>
          <w:tcPr>
            <w:tcW w:type="dxa" w:w="520"/>
            <w:tcMar>
              <w:top w:type="dxa" w:w="80"/>
              <w:left w:type="dxa" w:w="110"/>
              <w:bottom w:type="dxa" w:w="80"/>
              <w:right w:type="dxa" w:w="110"/>
            </w:tcMar>
          </w:tcPr>
          <w:p>
            <w:pPr>
              <w:spacing w:after="0" w:line="240"/>
              <w:jc w:val="left"/>
            </w:pPr>
            <w:r>
              <w:rPr>
                <w:b w:val="false"/>
                <w:bCs w:val="false"/>
                <w:color w:val="0A2540"/>
                <w:sz w:val="19"/>
                <w:szCs w:val="19"/>
              </w:rPr>
              <w:t xml:space="preserve">10b</w:t>
            </w:r>
          </w:p>
        </w:tc>
        <w:tc>
          <w:tcPr>
            <w:tcW w:type="dxa" w:w="1700"/>
            <w:tcMar>
              <w:top w:type="dxa" w:w="80"/>
              <w:left w:type="dxa" w:w="110"/>
              <w:bottom w:type="dxa" w:w="80"/>
              <w:right w:type="dxa" w:w="110"/>
            </w:tcMar>
          </w:tcPr>
          <w:p>
            <w:pPr>
              <w:spacing w:after="0" w:line="240"/>
              <w:jc w:val="left"/>
            </w:pPr>
            <w:r>
              <w:rPr>
                <w:b w:val="false"/>
                <w:bCs w:val="false"/>
                <w:color w:val="0A2540"/>
                <w:sz w:val="19"/>
                <w:szCs w:val="19"/>
              </w:rPr>
              <w:t xml:space="preserve">Power meter</w:t>
            </w:r>
          </w:p>
        </w:tc>
        <w:tc>
          <w:tcPr>
            <w:tcW w:type="dxa" w:w="4200"/>
            <w:tcMar>
              <w:top w:type="dxa" w:w="80"/>
              <w:left w:type="dxa" w:w="110"/>
              <w:bottom w:type="dxa" w:w="80"/>
              <w:right w:type="dxa" w:w="110"/>
            </w:tcMar>
          </w:tcPr>
          <w:p>
            <w:pPr>
              <w:spacing w:after="0" w:line="240"/>
              <w:jc w:val="left"/>
            </w:pPr>
            <w:r>
              <w:rPr>
                <w:b w:val="false"/>
                <w:bCs w:val="false"/>
                <w:color w:val="0A2540"/>
                <w:sz w:val="19"/>
                <w:szCs w:val="19"/>
              </w:rPr>
              <w:t xml:space="preserve">Kill A Watt, to measure real draw before buying batteries</w:t>
            </w:r>
          </w:p>
        </w:tc>
        <w:tc>
          <w:tcPr>
            <w:tcW w:type="dxa" w:w="1100"/>
            <w:tcMar>
              <w:top w:type="dxa" w:w="80"/>
              <w:left w:type="dxa" w:w="110"/>
              <w:bottom w:type="dxa" w:w="80"/>
              <w:right w:type="dxa" w:w="110"/>
            </w:tcMar>
          </w:tcPr>
          <w:p>
            <w:pPr>
              <w:spacing w:after="0" w:line="240"/>
              <w:jc w:val="right"/>
            </w:pPr>
            <w:r>
              <w:rPr>
                <w:b w:val="false"/>
                <w:bCs w:val="false"/>
                <w:color w:val="0A2540"/>
                <w:sz w:val="19"/>
                <w:szCs w:val="19"/>
              </w:rPr>
              <w:t xml:space="preserve">$25</w:t>
            </w:r>
          </w:p>
        </w:tc>
        <w:tc>
          <w:tcPr>
            <w:tcW w:type="dxa" w:w="1840"/>
            <w:tcMar>
              <w:top w:type="dxa" w:w="80"/>
              <w:left w:type="dxa" w:w="110"/>
              <w:bottom w:type="dxa" w:w="80"/>
              <w:right w:type="dxa" w:w="110"/>
            </w:tcMar>
          </w:tcPr>
          <w:p>
            <w:pPr>
              <w:spacing w:after="0" w:line="240"/>
              <w:jc w:val="left"/>
            </w:pPr>
            <w:r>
              <w:rPr>
                <w:b w:val="false"/>
                <w:bCs w:val="false"/>
                <w:color w:val="0A2540"/>
                <w:sz w:val="19"/>
                <w:szCs w:val="19"/>
              </w:rPr>
              <w:t xml:space="preserve">see notes</w:t>
            </w:r>
          </w:p>
        </w:tc>
      </w:tr>
      <w:tr>
        <w:tc>
          <w:tcPr>
            <w:tcW w:type="dxa" w:w="52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11</w:t>
            </w:r>
          </w:p>
        </w:tc>
        <w:tc>
          <w:tcPr>
            <w:tcW w:type="dxa" w:w="170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Cabling</w:t>
            </w:r>
          </w:p>
        </w:tc>
        <w:tc>
          <w:tcPr>
            <w:tcW w:type="dxa" w:w="420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Tripp Lite 50 ft HDMI, gripping connectors</w:t>
            </w:r>
          </w:p>
        </w:tc>
        <w:tc>
          <w:tcPr>
            <w:tcW w:type="dxa" w:w="1100"/>
            <w:shd w:fill="EEF5FB" w:color="auto" w:val="clear"/>
            <w:tcMar>
              <w:top w:type="dxa" w:w="80"/>
              <w:left w:type="dxa" w:w="110"/>
              <w:bottom w:type="dxa" w:w="80"/>
              <w:right w:type="dxa" w:w="110"/>
            </w:tcMar>
          </w:tcPr>
          <w:p>
            <w:pPr>
              <w:spacing w:after="0" w:line="240"/>
              <w:jc w:val="right"/>
            </w:pPr>
            <w:r>
              <w:rPr>
                <w:b w:val="false"/>
                <w:bCs w:val="false"/>
                <w:color w:val="0A2540"/>
                <w:sz w:val="19"/>
                <w:szCs w:val="19"/>
              </w:rPr>
              <w:t xml:space="preserve">$51</w:t>
            </w:r>
          </w:p>
        </w:tc>
        <w:tc>
          <w:tcPr>
            <w:tcW w:type="dxa" w:w="184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Newegg</w:t>
            </w:r>
          </w:p>
        </w:tc>
      </w:tr>
      <w:tr>
        <w:tc>
          <w:tcPr>
            <w:tcW w:type="dxa" w:w="520"/>
            <w:tcMar>
              <w:top w:type="dxa" w:w="80"/>
              <w:left w:type="dxa" w:w="110"/>
              <w:bottom w:type="dxa" w:w="80"/>
              <w:right w:type="dxa" w:w="110"/>
            </w:tcMar>
          </w:tcPr>
          <w:p>
            <w:pPr>
              <w:spacing w:after="0" w:line="240"/>
              <w:jc w:val="left"/>
            </w:pPr>
            <w:r>
              <w:rPr>
                <w:b w:val="false"/>
                <w:bCs w:val="false"/>
                <w:color w:val="0A2540"/>
                <w:sz w:val="19"/>
                <w:szCs w:val="19"/>
              </w:rPr>
              <w:t xml:space="preserve">12</w:t>
            </w:r>
          </w:p>
        </w:tc>
        <w:tc>
          <w:tcPr>
            <w:tcW w:type="dxa" w:w="1700"/>
            <w:tcMar>
              <w:top w:type="dxa" w:w="80"/>
              <w:left w:type="dxa" w:w="110"/>
              <w:bottom w:type="dxa" w:w="80"/>
              <w:right w:type="dxa" w:w="110"/>
            </w:tcMar>
          </w:tcPr>
          <w:p>
            <w:pPr>
              <w:spacing w:after="0" w:line="240"/>
              <w:jc w:val="left"/>
            </w:pPr>
            <w:r>
              <w:rPr>
                <w:b w:val="false"/>
                <w:bCs w:val="false"/>
                <w:color w:val="0A2540"/>
                <w:sz w:val="19"/>
                <w:szCs w:val="19"/>
              </w:rPr>
              <w:t xml:space="preserve">Surge protection</w:t>
            </w:r>
          </w:p>
        </w:tc>
        <w:tc>
          <w:tcPr>
            <w:tcW w:type="dxa" w:w="4200"/>
            <w:tcMar>
              <w:top w:type="dxa" w:w="80"/>
              <w:left w:type="dxa" w:w="110"/>
              <w:bottom w:type="dxa" w:w="80"/>
              <w:right w:type="dxa" w:w="110"/>
            </w:tcMar>
          </w:tcPr>
          <w:p>
            <w:pPr>
              <w:spacing w:after="0" w:line="240"/>
              <w:jc w:val="left"/>
            </w:pPr>
            <w:r>
              <w:rPr>
                <w:b w:val="false"/>
                <w:bCs w:val="false"/>
                <w:color w:val="0A2540"/>
                <w:sz w:val="19"/>
                <w:szCs w:val="19"/>
              </w:rPr>
              <w:t xml:space="preserve">APC SurgeArrest PE625, 25 ft</w:t>
            </w:r>
          </w:p>
        </w:tc>
        <w:tc>
          <w:tcPr>
            <w:tcW w:type="dxa" w:w="1100"/>
            <w:tcMar>
              <w:top w:type="dxa" w:w="80"/>
              <w:left w:type="dxa" w:w="110"/>
              <w:bottom w:type="dxa" w:w="80"/>
              <w:right w:type="dxa" w:w="110"/>
            </w:tcMar>
          </w:tcPr>
          <w:p>
            <w:pPr>
              <w:spacing w:after="0" w:line="240"/>
              <w:jc w:val="right"/>
            </w:pPr>
            <w:r>
              <w:rPr>
                <w:b w:val="false"/>
                <w:bCs w:val="false"/>
                <w:color w:val="0A2540"/>
                <w:sz w:val="19"/>
                <w:szCs w:val="19"/>
              </w:rPr>
              <w:t xml:space="preserve">$29</w:t>
            </w:r>
          </w:p>
        </w:tc>
        <w:tc>
          <w:tcPr>
            <w:tcW w:type="dxa" w:w="1840"/>
            <w:tcMar>
              <w:top w:type="dxa" w:w="80"/>
              <w:left w:type="dxa" w:w="110"/>
              <w:bottom w:type="dxa" w:w="80"/>
              <w:right w:type="dxa" w:w="110"/>
            </w:tcMar>
          </w:tcPr>
          <w:p>
            <w:pPr>
              <w:spacing w:after="0" w:line="240"/>
              <w:jc w:val="left"/>
            </w:pPr>
            <w:r>
              <w:rPr>
                <w:b w:val="false"/>
                <w:bCs w:val="false"/>
                <w:color w:val="0A2540"/>
                <w:sz w:val="19"/>
                <w:szCs w:val="19"/>
              </w:rPr>
              <w:t xml:space="preserve">Home Depot</w:t>
            </w:r>
          </w:p>
        </w:tc>
      </w:tr>
      <w:tr>
        <w:tc>
          <w:tcPr>
            <w:tcW w:type="dxa" w:w="52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13</w:t>
            </w:r>
          </w:p>
        </w:tc>
        <w:tc>
          <w:tcPr>
            <w:tcW w:type="dxa" w:w="170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Bridging tarp</w:t>
            </w:r>
          </w:p>
        </w:tc>
        <w:tc>
          <w:tcPr>
            <w:tcW w:type="dxa" w:w="420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Already owned</w:t>
            </w:r>
          </w:p>
        </w:tc>
        <w:tc>
          <w:tcPr>
            <w:tcW w:type="dxa" w:w="1100"/>
            <w:shd w:fill="EEF5FB" w:color="auto" w:val="clear"/>
            <w:tcMar>
              <w:top w:type="dxa" w:w="80"/>
              <w:left w:type="dxa" w:w="110"/>
              <w:bottom w:type="dxa" w:w="80"/>
              <w:right w:type="dxa" w:w="110"/>
            </w:tcMar>
          </w:tcPr>
          <w:p>
            <w:pPr>
              <w:spacing w:after="0" w:line="240"/>
              <w:jc w:val="right"/>
            </w:pPr>
            <w:r>
              <w:rPr>
                <w:b w:val="false"/>
                <w:bCs w:val="false"/>
                <w:color w:val="0A2540"/>
                <w:sz w:val="19"/>
                <w:szCs w:val="19"/>
              </w:rPr>
              <w:t xml:space="preserve">$0</w:t>
            </w:r>
          </w:p>
        </w:tc>
        <w:tc>
          <w:tcPr>
            <w:tcW w:type="dxa" w:w="184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w:t>
            </w:r>
          </w:p>
        </w:tc>
      </w:tr>
      <w:tr>
        <w:tc>
          <w:tcPr>
            <w:tcW w:type="dxa" w:w="520"/>
            <w:tcMar>
              <w:top w:type="dxa" w:w="80"/>
              <w:left w:type="dxa" w:w="110"/>
              <w:bottom w:type="dxa" w:w="80"/>
              <w:right w:type="dxa" w:w="110"/>
            </w:tcMar>
          </w:tcPr>
          <w:p>
            <w:pPr>
              <w:spacing w:after="0" w:line="240"/>
              <w:jc w:val="left"/>
            </w:pPr>
            <w:r>
              <w:rPr>
                <w:b w:val="false"/>
                <w:bCs w:val="false"/>
                <w:color w:val="0A2540"/>
                <w:sz w:val="19"/>
                <w:szCs w:val="19"/>
              </w:rPr>
              <w:t xml:space="preserve">14</w:t>
            </w:r>
          </w:p>
        </w:tc>
        <w:tc>
          <w:tcPr>
            <w:tcW w:type="dxa" w:w="1700"/>
            <w:tcMar>
              <w:top w:type="dxa" w:w="80"/>
              <w:left w:type="dxa" w:w="110"/>
              <w:bottom w:type="dxa" w:w="80"/>
              <w:right w:type="dxa" w:w="110"/>
            </w:tcMar>
          </w:tcPr>
          <w:p>
            <w:pPr>
              <w:spacing w:after="0" w:line="240"/>
              <w:jc w:val="left"/>
            </w:pPr>
            <w:r>
              <w:rPr>
                <w:b w:val="false"/>
                <w:bCs w:val="false"/>
                <w:color w:val="0A2540"/>
                <w:sz w:val="19"/>
                <w:szCs w:val="19"/>
              </w:rPr>
              <w:t xml:space="preserve">Misc</w:t>
            </w:r>
          </w:p>
        </w:tc>
        <w:tc>
          <w:tcPr>
            <w:tcW w:type="dxa" w:w="4200"/>
            <w:tcMar>
              <w:top w:type="dxa" w:w="80"/>
              <w:left w:type="dxa" w:w="110"/>
              <w:bottom w:type="dxa" w:w="80"/>
              <w:right w:type="dxa" w:w="110"/>
            </w:tcMar>
          </w:tcPr>
          <w:p>
            <w:pPr>
              <w:spacing w:after="0" w:line="240"/>
              <w:jc w:val="left"/>
            </w:pPr>
            <w:r>
              <w:rPr>
                <w:b w:val="false"/>
                <w:bCs w:val="false"/>
                <w:color w:val="0A2540"/>
                <w:sz w:val="19"/>
                <w:szCs w:val="19"/>
              </w:rPr>
              <w:t xml:space="preserve">Balls, tees, storage bins, box fan, gaffer tape</w:t>
            </w:r>
          </w:p>
        </w:tc>
        <w:tc>
          <w:tcPr>
            <w:tcW w:type="dxa" w:w="1100"/>
            <w:tcMar>
              <w:top w:type="dxa" w:w="80"/>
              <w:left w:type="dxa" w:w="110"/>
              <w:bottom w:type="dxa" w:w="80"/>
              <w:right w:type="dxa" w:w="110"/>
            </w:tcMar>
          </w:tcPr>
          <w:p>
            <w:pPr>
              <w:spacing w:after="0" w:line="240"/>
              <w:jc w:val="right"/>
            </w:pPr>
            <w:r>
              <w:rPr>
                <w:b w:val="false"/>
                <w:bCs w:val="false"/>
                <w:color w:val="0A2540"/>
                <w:sz w:val="19"/>
                <w:szCs w:val="19"/>
              </w:rPr>
              <w:t xml:space="preserve">$200</w:t>
            </w:r>
          </w:p>
        </w:tc>
        <w:tc>
          <w:tcPr>
            <w:tcW w:type="dxa" w:w="1840"/>
            <w:tcMar>
              <w:top w:type="dxa" w:w="80"/>
              <w:left w:type="dxa" w:w="110"/>
              <w:bottom w:type="dxa" w:w="80"/>
              <w:right w:type="dxa" w:w="110"/>
            </w:tcMar>
          </w:tcPr>
          <w:p>
            <w:pPr>
              <w:spacing w:after="0" w:line="240"/>
              <w:jc w:val="left"/>
            </w:pPr>
            <w:r>
              <w:rPr>
                <w:b w:val="false"/>
                <w:bCs w:val="false"/>
                <w:color w:val="0A2540"/>
                <w:sz w:val="19"/>
                <w:szCs w:val="19"/>
              </w:rPr>
              <w:t xml:space="preserve">allowance</w:t>
            </w:r>
          </w:p>
        </w:tc>
      </w:tr>
      <w:tr>
        <w:tc>
          <w:tcPr>
            <w:tcW w:type="dxa" w:w="520"/>
            <w:shd w:fill="F0EAD9" w:color="auto" w:val="clear"/>
            <w:tcMar>
              <w:top w:type="dxa" w:w="80"/>
              <w:left w:type="dxa" w:w="110"/>
              <w:bottom w:type="dxa" w:w="80"/>
              <w:right w:type="dxa" w:w="110"/>
            </w:tcMar>
          </w:tcPr>
          <w:p>
            <w:pPr>
              <w:spacing w:after="0" w:line="240"/>
              <w:jc w:val="left"/>
            </w:pPr>
            <w:r>
              <w:rPr>
                <w:b/>
                <w:bCs/>
                <w:color w:val="0A2540"/>
                <w:sz w:val="19"/>
                <w:szCs w:val="19"/>
              </w:rPr>
              <w:t xml:space="preserve"/>
            </w:r>
          </w:p>
        </w:tc>
        <w:tc>
          <w:tcPr>
            <w:tcW w:type="dxa" w:w="1700"/>
            <w:shd w:fill="F0EAD9" w:color="auto" w:val="clear"/>
            <w:tcMar>
              <w:top w:type="dxa" w:w="80"/>
              <w:left w:type="dxa" w:w="110"/>
              <w:bottom w:type="dxa" w:w="80"/>
              <w:right w:type="dxa" w:w="110"/>
            </w:tcMar>
          </w:tcPr>
          <w:p>
            <w:pPr>
              <w:spacing w:after="0" w:line="240"/>
              <w:jc w:val="left"/>
            </w:pPr>
            <w:r>
              <w:rPr>
                <w:b/>
                <w:bCs/>
                <w:color w:val="0A2540"/>
                <w:sz w:val="19"/>
                <w:szCs w:val="19"/>
              </w:rPr>
              <w:t xml:space="preserve">TOTAL</w:t>
            </w:r>
          </w:p>
        </w:tc>
        <w:tc>
          <w:tcPr>
            <w:tcW w:type="dxa" w:w="4200"/>
            <w:shd w:fill="F0EAD9" w:color="auto" w:val="clear"/>
            <w:tcMar>
              <w:top w:type="dxa" w:w="80"/>
              <w:left w:type="dxa" w:w="110"/>
              <w:bottom w:type="dxa" w:w="80"/>
              <w:right w:type="dxa" w:w="110"/>
            </w:tcMar>
          </w:tcPr>
          <w:p>
            <w:pPr>
              <w:spacing w:after="0" w:line="240"/>
              <w:jc w:val="left"/>
            </w:pPr>
            <w:r>
              <w:rPr>
                <w:b/>
                <w:bCs/>
                <w:color w:val="0A2540"/>
                <w:sz w:val="19"/>
                <w:szCs w:val="19"/>
              </w:rPr>
              <w:t xml:space="preserve"/>
            </w:r>
          </w:p>
        </w:tc>
        <w:tc>
          <w:tcPr>
            <w:tcW w:type="dxa" w:w="1100"/>
            <w:shd w:fill="F0EAD9" w:color="auto" w:val="clear"/>
            <w:tcMar>
              <w:top w:type="dxa" w:w="80"/>
              <w:left w:type="dxa" w:w="110"/>
              <w:bottom w:type="dxa" w:w="80"/>
              <w:right w:type="dxa" w:w="110"/>
            </w:tcMar>
          </w:tcPr>
          <w:p>
            <w:pPr>
              <w:spacing w:after="0" w:line="240"/>
              <w:jc w:val="right"/>
            </w:pPr>
            <w:r>
              <w:rPr>
                <w:b/>
                <w:bCs/>
                <w:color w:val="0A2540"/>
                <w:sz w:val="19"/>
                <w:szCs w:val="19"/>
              </w:rPr>
              <w:t xml:space="preserve">$10,762</w:t>
            </w:r>
          </w:p>
        </w:tc>
        <w:tc>
          <w:tcPr>
            <w:tcW w:type="dxa" w:w="1840"/>
            <w:shd w:fill="F0EAD9" w:color="auto" w:val="clear"/>
            <w:tcMar>
              <w:top w:type="dxa" w:w="80"/>
              <w:left w:type="dxa" w:w="110"/>
              <w:bottom w:type="dxa" w:w="80"/>
              <w:right w:type="dxa" w:w="110"/>
            </w:tcMar>
          </w:tcPr>
          <w:p>
            <w:pPr>
              <w:spacing w:after="0" w:line="240"/>
              <w:jc w:val="left"/>
            </w:pPr>
            <w:r>
              <w:rPr>
                <w:b/>
                <w:bCs/>
                <w:color w:val="0A2540"/>
                <w:sz w:val="19"/>
                <w:szCs w:val="19"/>
              </w:rPr>
              <w:t xml:space="preserve"/>
            </w:r>
          </w:p>
        </w:tc>
      </w:tr>
    </w:tbl>
    <w:p>
      <w:pPr>
        <w:spacing w:after="100" w:line="276"/>
      </w:pPr>
      <w:r>
        <w:t xml:space="preserve"> </w:t>
      </w:r>
    </w:p>
    <w:p>
      <w:pPr>
        <w:spacing w:after="140" w:line="276"/>
      </w:pPr>
      <w:r>
        <w:rPr>
          <w:b/>
          <w:bCs/>
          <w:color w:val="0A2540"/>
        </w:rPr>
        <w:t xml:space="preserve">Recurring cost: </w:t>
      </w:r>
      <w:r>
        <w:t xml:space="preserve">$200 per year for the Bushnell Silver plan. No other subscription is required.</w:t>
      </w:r>
    </w:p>
    <w:p>
      <w:pPr>
        <w:spacing w:after="140" w:line="276"/>
      </w:pPr>
      <w:r>
        <w:rPr>
          <w:b/>
          <w:bCs/>
          <w:color w:val="0A2540"/>
        </w:rPr>
        <w:t xml:space="preserve">Deferred, not cancelled: </w:t>
      </w:r>
      <w:r>
        <w:t xml:space="preserve">a battery power station (about $899) if a genuinely off-grid booking appears. See the power section.</w:t>
      </w:r>
    </w:p>
    <w:p>
      <w:pPr>
        <w:pStyle w:val="Heading2"/>
        <w:pBdr>
          <w:bottom w:val="single" w:color="C9D6E4" w:sz="6" w:space="6"/>
        </w:pBdr>
        <w:spacing w:after="140" w:before="320"/>
      </w:pPr>
      <w:r>
        <w:rPr>
          <w:b/>
          <w:bCs/>
          <w:color w:val="0A2540"/>
          <w:sz w:val="28"/>
          <w:szCs w:val="28"/>
        </w:rPr>
        <w:t xml:space="preserve">Key decisions and reasoning</w:t>
      </w:r>
    </w:p>
    <w:p>
      <w:pPr>
        <w:pStyle w:val="Heading3"/>
        <w:spacing w:after="100" w:before="240"/>
      </w:pPr>
      <w:r>
        <w:rPr>
          <w:b/>
          <w:bCs/>
          <w:color w:val="1B5FAA"/>
          <w:sz w:val="24"/>
          <w:szCs w:val="24"/>
        </w:rPr>
        <w:t xml:space="preserve">Launch monitor: Bushnell Launch Pro, $2,999</w:t>
      </w:r>
    </w:p>
    <w:p>
      <w:pPr>
        <w:spacing w:after="140" w:line="276"/>
      </w:pPr>
      <w:r>
        <w:t xml:space="preserve">Bushnell acquired Foresight Sports in 2021, and the Launch Pro ships the identical three-camera hardware as the Foresight GC3. Independent side-by-side testing reports nearly identical numbers on every shot. This is genuine Foresight technology, the brand behind the GCQuad units used in tour fitting studios, at roughly one fifth of GCQuad cost.</w:t>
      </w:r>
    </w:p>
    <w:p>
      <w:pPr>
        <w:pStyle w:val="ListParagraph"/>
        <w:numPr>
          <w:ilvl w:val="0"/>
          <w:numId w:val="2"/>
        </w:numPr>
        <w:spacing w:after="90" w:line="276"/>
      </w:pPr>
      <w:r>
        <w:rPr>
          <w:b/>
          <w:bCs/>
        </w:rPr>
        <w:t xml:space="preserve">Photometric, so it sits beside the ball. </w:t>
      </w:r>
      <w:r>
        <w:t xml:space="preserve">Radar units require about 15 ft of depth behind the golfer, and the enclosure interior is 14.99 ft deep. This constraint disappears with a camera unit.</w:t>
      </w:r>
    </w:p>
    <w:p>
      <w:pPr>
        <w:pStyle w:val="ListParagraph"/>
        <w:numPr>
          <w:ilvl w:val="0"/>
          <w:numId w:val="2"/>
        </w:numPr>
        <w:spacing w:after="90" w:line="276"/>
      </w:pPr>
      <w:r>
        <w:rPr>
          <w:b/>
          <w:bCs/>
        </w:rPr>
        <w:t xml:space="preserve">Brand credibility with corporate buyers. </w:t>
      </w:r>
      <w:r>
        <w:t xml:space="preserve">Foresight is a recognised name when quoting a company for a four-figure booking.</w:t>
      </w:r>
    </w:p>
    <w:p>
      <w:pPr>
        <w:pStyle w:val="ListParagraph"/>
        <w:numPr>
          <w:ilvl w:val="0"/>
          <w:numId w:val="2"/>
        </w:numPr>
        <w:spacing w:after="90" w:line="276"/>
      </w:pPr>
      <w:r>
        <w:rPr>
          <w:b/>
          <w:bCs/>
        </w:rPr>
        <w:t xml:space="preserve">Resale value. </w:t>
      </w:r>
      <w:r>
        <w:t xml:space="preserve">Foresight hardware retains value if the business does not continue.</w:t>
      </w:r>
    </w:p>
    <w:p>
      <w:pPr>
        <w:spacing w:after="140" w:line="276"/>
      </w:pPr>
      <w:r>
        <w:rPr>
          <w:i/>
          <w:iCs/>
        </w:rPr>
        <w:t xml:space="preserve">Alternative considered: </w:t>
      </w:r>
      <w:r>
        <w:rPr>
          <w:i/>
          <w:iCs/>
        </w:rPr>
        <w:t xml:space="preserve">Uneekor EYE MINI Lite at $1,999 saves about $1,000 and guests would not perceive a difference. It remains a defensible choice if launch capital is tight.</w:t>
      </w:r>
    </w:p>
    <w:p>
      <w:pPr>
        <w:pStyle w:val="Heading3"/>
        <w:spacing w:after="100" w:before="240"/>
      </w:pPr>
      <w:r>
        <w:rPr>
          <w:b/>
          <w:bCs/>
          <w:color w:val="1B5FAA"/>
          <w:sz w:val="24"/>
          <w:szCs w:val="24"/>
        </w:rPr>
        <w:t xml:space="preserve">Projector: BenQ AK700ST, $2,899</w:t>
      </w:r>
    </w:p>
    <w:p>
      <w:pPr>
        <w:spacing w:after="140" w:line="276"/>
      </w:pPr>
      <w:r>
        <w:t xml:space="preserve">4,000 ANSI lumens, 4K, short throw ratio 0.69 to 0.83, placing a roughly 12 ft image from 8.3 to 10 ft and ceiling-mounted clear of ball flight.</w:t>
      </w:r>
    </w:p>
    <w:p>
      <w:pPr>
        <w:spacing w:after="140" w:line="276"/>
      </w:pPr>
      <w:r>
        <w:rPr>
          <w:b/>
          <w:bCs/>
          <w:color w:val="0A2540"/>
        </w:rPr>
        <w:t xml:space="preserve">Note on the computer: </w:t>
      </w:r>
      <w:r>
        <w:t xml:space="preserve">the simulator will render at 1080p and let the projector upscale internally. This drops the graphics requirement from an RTX 3080 class card to an RTX 3060 class card, a saving of roughly $1,000, and the difference is not perceptible on a 12 ft screen viewed from 10 ft. The existing RTX 3060 Ti desktop meets the 1080p Ultra specification exactly, so no computer purchase is needed.</w:t>
      </w:r>
    </w:p>
    <w:p>
      <w:pPr>
        <w:pStyle w:val="Heading3"/>
        <w:spacing w:after="100" w:before="240"/>
      </w:pPr>
      <w:r>
        <w:rPr>
          <w:b/>
          <w:bCs/>
          <w:color w:val="1B5FAA"/>
          <w:sz w:val="24"/>
          <w:szCs w:val="24"/>
        </w:rPr>
        <w:t xml:space="preserve">Sun control: a canopy, not a brighter projector</w:t>
      </w:r>
    </w:p>
    <w:p>
      <w:pPr>
        <w:spacing w:after="140" w:line="276"/>
      </w:pPr>
      <w:r>
        <w:t xml:space="preserve">Outdoor daylight cannot be overcome with brightness. Ambient light on the screen produces glare of roughly lux divided by 12.6 in foot-lamberts. Open shade is about 20,000 lux, which overwhelms any projector in this price class. The workable target is under about 125 lux at the screen, which is a light-control problem, not a lumens problem.</w:t>
      </w:r>
    </w:p>
    <w:p>
      <w:pPr>
        <w:spacing w:after="140" w:line="276"/>
      </w:pPr>
      <w:r>
        <w:t xml:space="preserve">A black opaque canopy at the enclosure entrance addresses this for $250. Published measurements show solid canopies reduce illuminance to under 1,000 lux, while translucent shade barely helps. A brighter projector would cost roughly $1,349 more and still lose to daylight.</w:t>
      </w:r>
    </w:p>
    <w:p>
      <w:pPr>
        <w:pStyle w:val="Heading3"/>
        <w:spacing w:after="100" w:before="240"/>
      </w:pPr>
      <w:r>
        <w:rPr>
          <w:b/>
          <w:bCs/>
          <w:color w:val="1B5FAA"/>
          <w:sz w:val="24"/>
          <w:szCs w:val="24"/>
        </w:rPr>
        <w:t xml:space="preserve">Flooring: turf throughout, foam indoors only</w:t>
      </w:r>
    </w:p>
    <w:p>
      <w:pPr>
        <w:spacing w:after="140" w:line="276"/>
      </w:pPr>
      <w:r>
        <w:t xml:space="preserve">Artificial turf covers the full 206 sq ft interior rather than only the ball landing zone. A mixed floor, turf at the front and foam tiles behind the golfer, is visible in every photograph and undermines a premium presentation. Generic low-pile turf is specified rather than golf-branded landing turf, which sells at roughly three times the price per square foot for the same function.</w:t>
      </w:r>
    </w:p>
    <w:p>
      <w:pPr>
        <w:spacing w:after="140" w:line="276"/>
      </w:pPr>
      <w:r>
        <w:t xml:space="preserve">Interlocking foam tiles go under the turf for indoor bookings only. Grit trapped between a rubber turf backing and a finished floor is abrasive, and some venues require floor protection as a condition of setup. A refinished gym floor would cost more than several bookings earn. On grass, gravel and parking lots the foam stays behind, saving about 39 lb of load.</w:t>
      </w:r>
    </w:p>
    <w:p>
      <w:pPr>
        <w:pStyle w:val="Heading3"/>
        <w:spacing w:after="100" w:before="240"/>
      </w:pPr>
      <w:r>
        <w:rPr>
          <w:b/>
          <w:bCs/>
          <w:color w:val="1B5FAA"/>
          <w:sz w:val="24"/>
          <w:szCs w:val="24"/>
        </w:rPr>
        <w:t xml:space="preserve">Power: shore power required, batteries deferred</w:t>
      </w:r>
    </w:p>
    <w:p>
      <w:pPr>
        <w:spacing w:after="140" w:line="276"/>
      </w:pPr>
      <w:r>
        <w:t xml:space="preserve">The original specification included two battery stations at $1,798. That has been removed. Most venues have outlets, and standard practice among event rental operators is to make power access a booking condition. The quote will state that the client provides access to a standard 15-amp outlet within 100 ft.</w:t>
      </w:r>
    </w:p>
    <w:p>
      <w:pPr>
        <w:spacing w:after="140" w:line="276"/>
      </w:pPr>
      <w:r>
        <w:t xml:space="preserve">A 100 ft 12-gauge extension cord covers this for about $70. A Kill A Watt meter at $25 will establish the real draw of the pump, projector and computer at the first test setup, replacing estimates with measurements before any battery is considered. If a genuinely off-grid booking arises, a single unit can be bought or rented at that point.</w:t>
      </w:r>
    </w:p>
    <w:p>
      <w:pPr>
        <w:pStyle w:val="Heading2"/>
        <w:pBdr>
          <w:bottom w:val="single" w:color="C9D6E4" w:sz="6" w:space="6"/>
        </w:pBdr>
        <w:spacing w:after="140" w:before="320"/>
      </w:pPr>
      <w:r>
        <w:rPr>
          <w:b/>
          <w:bCs/>
          <w:color w:val="0A2540"/>
          <w:sz w:val="28"/>
          <w:szCs w:val="28"/>
        </w:rPr>
        <w:t xml:space="preserve">Open questions before ordering</w:t>
      </w:r>
    </w:p>
    <w:p>
      <w:pPr>
        <w:pStyle w:val="ListParagraph"/>
        <w:numPr>
          <w:ilvl w:val="0"/>
          <w:numId w:val="2"/>
        </w:numPr>
        <w:spacing w:after="90" w:line="276"/>
      </w:pPr>
      <w:r>
        <w:rPr>
          <w:b/>
          <w:bCs/>
        </w:rPr>
        <w:t xml:space="preserve">Does the enclosure seal? </w:t>
      </w:r>
      <w:r>
        <w:t xml:space="preserve">Sealed PVC enclosures inflate once and the pump is disconnected. Continuous-airflow designs need the blower running throughout. PopCaddie's page does not state which applies. If it seals, 250 to 400 W of continuous draw leaves the power budget. Confirm with the vendor before buying any power equipment.</w:t>
      </w:r>
    </w:p>
    <w:p>
      <w:pPr>
        <w:pStyle w:val="ListParagraph"/>
        <w:numPr>
          <w:ilvl w:val="0"/>
          <w:numId w:val="2"/>
        </w:numPr>
        <w:spacing w:after="90" w:line="276"/>
      </w:pPr>
      <w:r>
        <w:rPr>
          <w:b/>
          <w:bCs/>
        </w:rPr>
        <w:t xml:space="preserve">Verify sale prices on the day. </w:t>
      </w:r>
      <w:r>
        <w:t xml:space="preserve">The launch monitor and projector are both currently discounted.</w:t>
      </w:r>
    </w:p>
    <w:p>
      <w:pPr>
        <w:pStyle w:val="ListParagraph"/>
        <w:numPr>
          <w:ilvl w:val="0"/>
          <w:numId w:val="2"/>
        </w:numPr>
        <w:spacing w:after="90" w:line="276"/>
      </w:pPr>
      <w:r>
        <w:rPr>
          <w:b/>
          <w:bCs/>
        </w:rPr>
        <w:t xml:space="preserve">Order the enclosure first. </w:t>
      </w:r>
      <w:r>
        <w:t xml:space="preserve">It has a 28 to 30 day lead time by FedEx Air, and it sets the launch date. Customs of roughly $130 is billed separately by FedEx after delivery and is not included in the purchase price.</w:t>
      </w:r>
    </w:p>
    <w:p>
      <w:pPr>
        <w:pStyle w:val="Heading2"/>
        <w:pBdr>
          <w:bottom w:val="single" w:color="C9D6E4" w:sz="6" w:space="6"/>
        </w:pBdr>
        <w:spacing w:after="140" w:before="320"/>
      </w:pPr>
      <w:r>
        <w:rPr>
          <w:b/>
          <w:bCs/>
          <w:color w:val="0A2540"/>
          <w:sz w:val="28"/>
          <w:szCs w:val="28"/>
        </w:rPr>
        <w:t xml:space="preserve">Summary</w:t>
      </w:r>
    </w:p>
    <w:tbl>
      <w:tblPr>
        <w:tblW w:type="dxa" w:w="9360"/>
        <w:tblBorders>
          <w:top w:val="single" w:color="C9D6E4" w:sz="4"/>
          <w:left w:val="single" w:color="C9D6E4" w:sz="4"/>
          <w:bottom w:val="single" w:color="C9D6E4" w:sz="4"/>
          <w:right w:val="single" w:color="C9D6E4" w:sz="4"/>
          <w:insideH w:val="single" w:color="C9D6E4" w:sz="2"/>
          <w:insideV w:val="single" w:color="C9D6E4" w:sz="2"/>
        </w:tblBorders>
      </w:tblPr>
      <w:tblGrid>
        <w:gridCol w:w="4680"/>
        <w:gridCol w:w="2340"/>
        <w:gridCol w:w="2340"/>
      </w:tblGrid>
      <w:tr>
        <w:trPr>
          <w:tblHeader/>
        </w:trPr>
        <w:tc>
          <w:tcPr>
            <w:tcW w:type="dxa" w:w="4680"/>
            <w:shd w:fill="0A2540" w:color="auto" w:val="clear"/>
            <w:tcMar>
              <w:top w:type="dxa" w:w="90"/>
              <w:left w:type="dxa" w:w="110"/>
              <w:bottom w:type="dxa" w:w="90"/>
              <w:right w:type="dxa" w:w="110"/>
            </w:tcMar>
          </w:tcPr>
          <w:p>
            <w:pPr>
              <w:spacing w:after="0"/>
              <w:jc w:val="left"/>
            </w:pPr>
            <w:r>
              <w:rPr>
                <w:b/>
                <w:bCs/>
                <w:color w:val="FFFFFF"/>
                <w:sz w:val="19"/>
                <w:szCs w:val="19"/>
              </w:rPr>
              <w:t xml:space="preserve">Category</w:t>
            </w:r>
          </w:p>
        </w:tc>
        <w:tc>
          <w:tcPr>
            <w:tcW w:type="dxa" w:w="2340"/>
            <w:shd w:fill="0A2540" w:color="auto" w:val="clear"/>
            <w:tcMar>
              <w:top w:type="dxa" w:w="90"/>
              <w:left w:type="dxa" w:w="110"/>
              <w:bottom w:type="dxa" w:w="90"/>
              <w:right w:type="dxa" w:w="110"/>
            </w:tcMar>
          </w:tcPr>
          <w:p>
            <w:pPr>
              <w:spacing w:after="0"/>
              <w:jc w:val="right"/>
            </w:pPr>
            <w:r>
              <w:rPr>
                <w:b/>
                <w:bCs/>
                <w:color w:val="FFFFFF"/>
                <w:sz w:val="19"/>
                <w:szCs w:val="19"/>
              </w:rPr>
              <w:t xml:space="preserve">Amount</w:t>
            </w:r>
          </w:p>
        </w:tc>
        <w:tc>
          <w:tcPr>
            <w:tcW w:type="dxa" w:w="2340"/>
            <w:shd w:fill="0A2540" w:color="auto" w:val="clear"/>
            <w:tcMar>
              <w:top w:type="dxa" w:w="90"/>
              <w:left w:type="dxa" w:w="110"/>
              <w:bottom w:type="dxa" w:w="90"/>
              <w:right w:type="dxa" w:w="110"/>
            </w:tcMar>
          </w:tcPr>
          <w:p>
            <w:pPr>
              <w:spacing w:after="0"/>
              <w:jc w:val="left"/>
            </w:pPr>
            <w:r>
              <w:rPr>
                <w:b/>
                <w:bCs/>
                <w:color w:val="FFFFFF"/>
                <w:sz w:val="19"/>
                <w:szCs w:val="19"/>
              </w:rPr>
              <w:t xml:space="preserve">Notes</w:t>
            </w:r>
          </w:p>
        </w:tc>
      </w:tr>
      <w:tr>
        <w:tc>
          <w:tcPr>
            <w:tcW w:type="dxa" w:w="4680"/>
            <w:tcMar>
              <w:top w:type="dxa" w:w="80"/>
              <w:left w:type="dxa" w:w="110"/>
              <w:bottom w:type="dxa" w:w="80"/>
              <w:right w:type="dxa" w:w="110"/>
            </w:tcMar>
          </w:tcPr>
          <w:p>
            <w:pPr>
              <w:spacing w:after="0" w:line="240"/>
              <w:jc w:val="left"/>
            </w:pPr>
            <w:r>
              <w:rPr>
                <w:b w:val="false"/>
                <w:bCs w:val="false"/>
                <w:color w:val="0A2540"/>
                <w:sz w:val="19"/>
                <w:szCs w:val="19"/>
              </w:rPr>
              <w:t xml:space="preserve">Enclosure, canopy and ground protection</w:t>
            </w:r>
          </w:p>
        </w:tc>
        <w:tc>
          <w:tcPr>
            <w:tcW w:type="dxa" w:w="2340"/>
            <w:tcMar>
              <w:top w:type="dxa" w:w="80"/>
              <w:left w:type="dxa" w:w="110"/>
              <w:bottom w:type="dxa" w:w="80"/>
              <w:right w:type="dxa" w:w="110"/>
            </w:tcMar>
          </w:tcPr>
          <w:p>
            <w:pPr>
              <w:spacing w:after="0" w:line="240"/>
              <w:jc w:val="right"/>
            </w:pPr>
            <w:r>
              <w:rPr>
                <w:b w:val="false"/>
                <w:bCs w:val="false"/>
                <w:color w:val="0A2540"/>
                <w:sz w:val="19"/>
                <w:szCs w:val="19"/>
              </w:rPr>
              <w:t xml:space="preserve">$3,960</w:t>
            </w:r>
          </w:p>
        </w:tc>
        <w:tc>
          <w:tcPr>
            <w:tcW w:type="dxa" w:w="2340"/>
            <w:tcMar>
              <w:top w:type="dxa" w:w="80"/>
              <w:left w:type="dxa" w:w="110"/>
              <w:bottom w:type="dxa" w:w="80"/>
              <w:right w:type="dxa" w:w="110"/>
            </w:tcMar>
          </w:tcPr>
          <w:p>
            <w:pPr>
              <w:spacing w:after="0" w:line="240"/>
              <w:jc w:val="left"/>
            </w:pPr>
            <w:r>
              <w:rPr>
                <w:b w:val="false"/>
                <w:bCs w:val="false"/>
                <w:color w:val="0A2540"/>
                <w:sz w:val="19"/>
                <w:szCs w:val="19"/>
              </w:rPr>
              <w:t xml:space="preserve">Includes customs estimate</w:t>
            </w:r>
          </w:p>
        </w:tc>
      </w:tr>
      <w:tr>
        <w:tc>
          <w:tcPr>
            <w:tcW w:type="dxa" w:w="468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Launch monitor and first-year plan</w:t>
            </w:r>
          </w:p>
        </w:tc>
        <w:tc>
          <w:tcPr>
            <w:tcW w:type="dxa" w:w="2340"/>
            <w:shd w:fill="EEF5FB" w:color="auto" w:val="clear"/>
            <w:tcMar>
              <w:top w:type="dxa" w:w="80"/>
              <w:left w:type="dxa" w:w="110"/>
              <w:bottom w:type="dxa" w:w="80"/>
              <w:right w:type="dxa" w:w="110"/>
            </w:tcMar>
          </w:tcPr>
          <w:p>
            <w:pPr>
              <w:spacing w:after="0" w:line="240"/>
              <w:jc w:val="right"/>
            </w:pPr>
            <w:r>
              <w:rPr>
                <w:b w:val="false"/>
                <w:bCs w:val="false"/>
                <w:color w:val="0A2540"/>
                <w:sz w:val="19"/>
                <w:szCs w:val="19"/>
              </w:rPr>
              <w:t xml:space="preserve">$3,199</w:t>
            </w:r>
          </w:p>
        </w:tc>
        <w:tc>
          <w:tcPr>
            <w:tcW w:type="dxa" w:w="234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Bushnell Launch Pro</w:t>
            </w:r>
          </w:p>
        </w:tc>
      </w:tr>
      <w:tr>
        <w:tc>
          <w:tcPr>
            <w:tcW w:type="dxa" w:w="4680"/>
            <w:tcMar>
              <w:top w:type="dxa" w:w="80"/>
              <w:left w:type="dxa" w:w="110"/>
              <w:bottom w:type="dxa" w:w="80"/>
              <w:right w:type="dxa" w:w="110"/>
            </w:tcMar>
          </w:tcPr>
          <w:p>
            <w:pPr>
              <w:spacing w:after="0" w:line="240"/>
              <w:jc w:val="left"/>
            </w:pPr>
            <w:r>
              <w:rPr>
                <w:b w:val="false"/>
                <w:bCs w:val="false"/>
                <w:color w:val="0A2540"/>
                <w:sz w:val="19"/>
                <w:szCs w:val="19"/>
              </w:rPr>
              <w:t xml:space="preserve">Projector</w:t>
            </w:r>
          </w:p>
        </w:tc>
        <w:tc>
          <w:tcPr>
            <w:tcW w:type="dxa" w:w="2340"/>
            <w:tcMar>
              <w:top w:type="dxa" w:w="80"/>
              <w:left w:type="dxa" w:w="110"/>
              <w:bottom w:type="dxa" w:w="80"/>
              <w:right w:type="dxa" w:w="110"/>
            </w:tcMar>
          </w:tcPr>
          <w:p>
            <w:pPr>
              <w:spacing w:after="0" w:line="240"/>
              <w:jc w:val="right"/>
            </w:pPr>
            <w:r>
              <w:rPr>
                <w:b w:val="false"/>
                <w:bCs w:val="false"/>
                <w:color w:val="0A2540"/>
                <w:sz w:val="19"/>
                <w:szCs w:val="19"/>
              </w:rPr>
              <w:t xml:space="preserve">$2,899</w:t>
            </w:r>
          </w:p>
        </w:tc>
        <w:tc>
          <w:tcPr>
            <w:tcW w:type="dxa" w:w="2340"/>
            <w:tcMar>
              <w:top w:type="dxa" w:w="80"/>
              <w:left w:type="dxa" w:w="110"/>
              <w:bottom w:type="dxa" w:w="80"/>
              <w:right w:type="dxa" w:w="110"/>
            </w:tcMar>
          </w:tcPr>
          <w:p>
            <w:pPr>
              <w:spacing w:after="0" w:line="240"/>
              <w:jc w:val="left"/>
            </w:pPr>
            <w:r>
              <w:rPr>
                <w:b w:val="false"/>
                <w:bCs w:val="false"/>
                <w:color w:val="0A2540"/>
                <w:sz w:val="19"/>
                <w:szCs w:val="19"/>
              </w:rPr>
              <w:t xml:space="preserve">BenQ AK700ST</w:t>
            </w:r>
          </w:p>
        </w:tc>
      </w:tr>
      <w:tr>
        <w:tc>
          <w:tcPr>
            <w:tcW w:type="dxa" w:w="468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Computer</w:t>
            </w:r>
          </w:p>
        </w:tc>
        <w:tc>
          <w:tcPr>
            <w:tcW w:type="dxa" w:w="2340"/>
            <w:shd w:fill="EEF5FB" w:color="auto" w:val="clear"/>
            <w:tcMar>
              <w:top w:type="dxa" w:w="80"/>
              <w:left w:type="dxa" w:w="110"/>
              <w:bottom w:type="dxa" w:w="80"/>
              <w:right w:type="dxa" w:w="110"/>
            </w:tcMar>
          </w:tcPr>
          <w:p>
            <w:pPr>
              <w:spacing w:after="0" w:line="240"/>
              <w:jc w:val="right"/>
            </w:pPr>
            <w:r>
              <w:rPr>
                <w:b w:val="false"/>
                <w:bCs w:val="false"/>
                <w:color w:val="0A2540"/>
                <w:sz w:val="19"/>
                <w:szCs w:val="19"/>
              </w:rPr>
              <w:t xml:space="preserve">$0</w:t>
            </w:r>
          </w:p>
        </w:tc>
        <w:tc>
          <w:tcPr>
            <w:tcW w:type="dxa" w:w="2340"/>
            <w:shd w:fill="EEF5FB" w:color="auto" w:val="clear"/>
            <w:tcMar>
              <w:top w:type="dxa" w:w="80"/>
              <w:left w:type="dxa" w:w="110"/>
              <w:bottom w:type="dxa" w:w="80"/>
              <w:right w:type="dxa" w:w="110"/>
            </w:tcMar>
          </w:tcPr>
          <w:p>
            <w:pPr>
              <w:spacing w:after="0" w:line="240"/>
              <w:jc w:val="left"/>
            </w:pPr>
            <w:r>
              <w:rPr>
                <w:b w:val="false"/>
                <w:bCs w:val="false"/>
                <w:color w:val="0A2540"/>
                <w:sz w:val="19"/>
                <w:szCs w:val="19"/>
              </w:rPr>
              <w:t xml:space="preserve">Already owned</w:t>
            </w:r>
          </w:p>
        </w:tc>
      </w:tr>
      <w:tr>
        <w:tc>
          <w:tcPr>
            <w:tcW w:type="dxa" w:w="4680"/>
            <w:tcMar>
              <w:top w:type="dxa" w:w="80"/>
              <w:left w:type="dxa" w:w="110"/>
              <w:bottom w:type="dxa" w:w="80"/>
              <w:right w:type="dxa" w:w="110"/>
            </w:tcMar>
          </w:tcPr>
          <w:p>
            <w:pPr>
              <w:spacing w:after="0" w:line="240"/>
              <w:jc w:val="left"/>
            </w:pPr>
            <w:r>
              <w:rPr>
                <w:b w:val="false"/>
                <w:bCs w:val="false"/>
                <w:color w:val="0A2540"/>
                <w:sz w:val="19"/>
                <w:szCs w:val="19"/>
              </w:rPr>
              <w:t xml:space="preserve">Mat, flooring and consumables</w:t>
            </w:r>
          </w:p>
        </w:tc>
        <w:tc>
          <w:tcPr>
            <w:tcW w:type="dxa" w:w="2340"/>
            <w:tcMar>
              <w:top w:type="dxa" w:w="80"/>
              <w:left w:type="dxa" w:w="110"/>
              <w:bottom w:type="dxa" w:w="80"/>
              <w:right w:type="dxa" w:w="110"/>
            </w:tcMar>
          </w:tcPr>
          <w:p>
            <w:pPr>
              <w:spacing w:after="0" w:line="240"/>
              <w:jc w:val="right"/>
            </w:pPr>
            <w:r>
              <w:rPr>
                <w:b w:val="false"/>
                <w:bCs w:val="false"/>
                <w:color w:val="0A2540"/>
                <w:sz w:val="19"/>
                <w:szCs w:val="19"/>
              </w:rPr>
              <w:t xml:space="preserve">$704</w:t>
            </w:r>
          </w:p>
        </w:tc>
        <w:tc>
          <w:tcPr>
            <w:tcW w:type="dxa" w:w="2340"/>
            <w:tcMar>
              <w:top w:type="dxa" w:w="80"/>
              <w:left w:type="dxa" w:w="110"/>
              <w:bottom w:type="dxa" w:w="80"/>
              <w:right w:type="dxa" w:w="110"/>
            </w:tcMar>
          </w:tcPr>
          <w:p>
            <w:pPr>
              <w:spacing w:after="0" w:line="240"/>
              <w:jc w:val="left"/>
            </w:pPr>
            <w:r>
              <w:rPr>
                <w:b w:val="false"/>
                <w:bCs w:val="false"/>
                <w:color w:val="0A2540"/>
                <w:sz w:val="19"/>
                <w:szCs w:val="19"/>
              </w:rPr>
              <w:t xml:space="preserve">Turf, foam, mat, misc</w:t>
            </w:r>
          </w:p>
        </w:tc>
      </w:tr>
      <w:tr>
        <w:tc>
          <w:tcPr>
            <w:tcW w:type="dxa" w:w="4680"/>
            <w:shd w:fill="F0EAD9" w:color="auto" w:val="clear"/>
            <w:tcMar>
              <w:top w:type="dxa" w:w="80"/>
              <w:left w:type="dxa" w:w="110"/>
              <w:bottom w:type="dxa" w:w="80"/>
              <w:right w:type="dxa" w:w="110"/>
            </w:tcMar>
          </w:tcPr>
          <w:p>
            <w:pPr>
              <w:spacing w:after="0" w:line="240"/>
              <w:jc w:val="left"/>
            </w:pPr>
            <w:r>
              <w:rPr>
                <w:b/>
                <w:bCs/>
                <w:color w:val="0A2540"/>
                <w:sz w:val="19"/>
                <w:szCs w:val="19"/>
              </w:rPr>
              <w:t xml:space="preserve">TOTAL</w:t>
            </w:r>
          </w:p>
        </w:tc>
        <w:tc>
          <w:tcPr>
            <w:tcW w:type="dxa" w:w="2340"/>
            <w:shd w:fill="F0EAD9" w:color="auto" w:val="clear"/>
            <w:tcMar>
              <w:top w:type="dxa" w:w="80"/>
              <w:left w:type="dxa" w:w="110"/>
              <w:bottom w:type="dxa" w:w="80"/>
              <w:right w:type="dxa" w:w="110"/>
            </w:tcMar>
          </w:tcPr>
          <w:p>
            <w:pPr>
              <w:spacing w:after="0" w:line="240"/>
              <w:jc w:val="right"/>
            </w:pPr>
            <w:r>
              <w:rPr>
                <w:b/>
                <w:bCs/>
                <w:color w:val="0A2540"/>
                <w:sz w:val="19"/>
                <w:szCs w:val="19"/>
              </w:rPr>
              <w:t xml:space="preserve">$10,762</w:t>
            </w:r>
          </w:p>
        </w:tc>
        <w:tc>
          <w:tcPr>
            <w:tcW w:type="dxa" w:w="2340"/>
            <w:shd w:fill="F0EAD9" w:color="auto" w:val="clear"/>
            <w:tcMar>
              <w:top w:type="dxa" w:w="80"/>
              <w:left w:type="dxa" w:w="110"/>
              <w:bottom w:type="dxa" w:w="80"/>
              <w:right w:type="dxa" w:w="110"/>
            </w:tcMar>
          </w:tcPr>
          <w:p>
            <w:pPr>
              <w:spacing w:after="0" w:line="240"/>
              <w:jc w:val="left"/>
            </w:pPr>
            <w:r>
              <w:rPr>
                <w:b/>
                <w:bCs/>
                <w:color w:val="0A2540"/>
                <w:sz w:val="19"/>
                <w:szCs w:val="19"/>
              </w:rPr>
              <w:t xml:space="preserve">Plus $200 per year</w:t>
            </w:r>
          </w:p>
        </w:tc>
      </w:tr>
    </w:tbl>
    <w:sectPr>
      <w:pgSz w:w="12240" w:h="15840"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Southern Drive Golf Co — Equipment Build Sheet</dc:title>
  <dc:creator>Southern Drive Golf Co</dc:creator>
  <dc:description>Final equipment specification for review</dc:description>
  <cp:lastModifiedBy>Un-named</cp:lastModifiedBy>
  <cp:revision>1</cp:revision>
  <dcterms:created xsi:type="dcterms:W3CDTF">2026-08-14T08:22:22.224Z</dcterms:created>
  <dcterms:modified xsi:type="dcterms:W3CDTF">2026-08-14T08:22:22.224Z</dcterms:modified>
</cp:coreProperties>
</file>

<file path=docProps/custom.xml><?xml version="1.0" encoding="utf-8"?>
<Properties xmlns="http://schemas.openxmlformats.org/officeDocument/2006/custom-properties" xmlns:vt="http://schemas.openxmlformats.org/officeDocument/2006/docPropsVTypes"/>
</file>