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D1A0E" w14:textId="0B30F28D" w:rsidR="00B81993" w:rsidRDefault="00C11941" w:rsidP="00C11941">
      <w:pPr>
        <w:jc w:val="center"/>
        <w:rPr>
          <w:b/>
          <w:bCs/>
        </w:rPr>
      </w:pPr>
      <w:r w:rsidRPr="00C11941">
        <w:rPr>
          <w:b/>
          <w:bCs/>
        </w:rPr>
        <w:t>Week 8 Portfolio</w:t>
      </w:r>
    </w:p>
    <w:p w14:paraId="3ADCE0F3" w14:textId="76D5E303" w:rsidR="00B012AA" w:rsidRPr="00B012AA" w:rsidRDefault="00B012AA" w:rsidP="00FD773F">
      <w:pPr>
        <w:jc w:val="both"/>
      </w:pPr>
      <w:r w:rsidRPr="00B012AA">
        <w:t xml:space="preserve">The following steps were followed to </w:t>
      </w:r>
      <w:r>
        <w:t>prioritise vulnerabilities in our information system:</w:t>
      </w:r>
    </w:p>
    <w:p w14:paraId="71785367" w14:textId="3ED3E147" w:rsidR="00C11941" w:rsidRPr="00C11941" w:rsidRDefault="00B012AA" w:rsidP="00FD773F">
      <w:pPr>
        <w:pStyle w:val="ListParagraph"/>
        <w:numPr>
          <w:ilvl w:val="0"/>
          <w:numId w:val="10"/>
        </w:numPr>
        <w:jc w:val="both"/>
      </w:pPr>
      <w:r w:rsidRPr="00B012AA">
        <w:t>We identified three critical CVEs from the Nessus report CVE-2022-36067, CVE-2023-29017, and CVE-2024-0985. Each of these vulnerabilities was chosen based on their severity, exploitability, and relevance to the information system's environment.</w:t>
      </w:r>
      <w:r w:rsidR="00FD773F">
        <w:t xml:space="preserve"> </w:t>
      </w:r>
      <w:r w:rsidR="00C11941" w:rsidRPr="00C11941">
        <w:t xml:space="preserve">Here are three CVEs identified from </w:t>
      </w:r>
      <w:r w:rsidR="00C11941">
        <w:t>our</w:t>
      </w:r>
      <w:r w:rsidR="00C11941" w:rsidRPr="00C11941">
        <w:t xml:space="preserve"> Nessus report:</w:t>
      </w:r>
    </w:p>
    <w:p w14:paraId="30248A1C" w14:textId="77777777" w:rsidR="00C11941" w:rsidRDefault="00C11941" w:rsidP="00FD773F">
      <w:pPr>
        <w:numPr>
          <w:ilvl w:val="0"/>
          <w:numId w:val="11"/>
        </w:numPr>
        <w:jc w:val="both"/>
      </w:pPr>
      <w:r w:rsidRPr="00C11941">
        <w:t>CVE-2022-36067 (Node.js Module vm2 &lt; 3.9.11 Sandbox Breakout)</w:t>
      </w:r>
    </w:p>
    <w:p w14:paraId="4F2042AB" w14:textId="5E1E0B4E" w:rsidR="00615318" w:rsidRPr="00C11941" w:rsidRDefault="00615318" w:rsidP="00615318">
      <w:pPr>
        <w:jc w:val="both"/>
      </w:pPr>
      <w:r>
        <w:rPr>
          <w:noProof/>
        </w:rPr>
        <w:drawing>
          <wp:inline distT="0" distB="0" distL="0" distR="0" wp14:anchorId="41A48BF3" wp14:editId="6EF4490F">
            <wp:extent cx="6139111" cy="3261360"/>
            <wp:effectExtent l="19050" t="19050" r="14605" b="15240"/>
            <wp:docPr id="1095854486" name="Picture 2" descr="att_34_[22,42000j,8834n]_vagrant_192.168.56.34_[ssh,juice,Nessus]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4486" name="Picture 1095854486" descr="att_34_[22,42000j,8834n]_vagrant_192.168.56.34_[ssh,juice,Nessus] [Running] - Oracle VM VirtualBox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316" cy="3263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31909" w14:textId="77777777" w:rsidR="00C11941" w:rsidRDefault="00C11941" w:rsidP="00FD773F">
      <w:pPr>
        <w:numPr>
          <w:ilvl w:val="0"/>
          <w:numId w:val="11"/>
        </w:numPr>
        <w:jc w:val="both"/>
      </w:pPr>
      <w:r w:rsidRPr="00C11941">
        <w:t>CVE-2023-29017 (Node.js Module vm2 &lt; 3.9.15 Sandbox Breakout)</w:t>
      </w:r>
    </w:p>
    <w:p w14:paraId="62EAFCD2" w14:textId="3CAEFDF3" w:rsidR="00615318" w:rsidRPr="00C11941" w:rsidRDefault="00615318" w:rsidP="00615318">
      <w:pPr>
        <w:jc w:val="both"/>
      </w:pPr>
      <w:r>
        <w:rPr>
          <w:noProof/>
        </w:rPr>
        <w:lastRenderedPageBreak/>
        <w:drawing>
          <wp:inline distT="0" distB="0" distL="0" distR="0" wp14:anchorId="205120D5" wp14:editId="3E23AD6B">
            <wp:extent cx="6096079" cy="3238500"/>
            <wp:effectExtent l="19050" t="19050" r="19050" b="19050"/>
            <wp:docPr id="1701189171" name="Picture 1" descr="att_34_[22,42000j,8834n]_vagrant_192.168.56.34_[ssh,juice,Nessus]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89171" name="Picture 1701189171" descr="att_34_[22,42000j,8834n]_vagrant_192.168.56.34_[ssh,juice,Nessus] [Running] - Oracle VM VirtualBox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58" cy="3240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B9732" w14:textId="34C27B31" w:rsidR="00B012AA" w:rsidRDefault="00C11941" w:rsidP="00FD773F">
      <w:pPr>
        <w:numPr>
          <w:ilvl w:val="0"/>
          <w:numId w:val="11"/>
        </w:numPr>
        <w:jc w:val="both"/>
      </w:pPr>
      <w:r w:rsidRPr="00C11941">
        <w:t>CVE-2024-0985 (PostgreSQL SQL Injection)</w:t>
      </w:r>
    </w:p>
    <w:p w14:paraId="322C3BA7" w14:textId="27D9667F" w:rsidR="00615318" w:rsidRDefault="00615318" w:rsidP="00615318">
      <w:pPr>
        <w:jc w:val="both"/>
      </w:pPr>
      <w:r>
        <w:rPr>
          <w:noProof/>
        </w:rPr>
        <w:drawing>
          <wp:inline distT="0" distB="0" distL="0" distR="0" wp14:anchorId="5A3DDB85" wp14:editId="1FBDBCE5">
            <wp:extent cx="6053048" cy="3215640"/>
            <wp:effectExtent l="19050" t="19050" r="24130" b="22860"/>
            <wp:docPr id="598563858" name="Picture 3" descr="att_34_[22,42000j,8834n]_vagrant_192.168.56.34_[ssh,juice,Nessus]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3858" name="Picture 598563858" descr="att_34_[22,42000j,8834n]_vagrant_192.168.56.34_[ssh,juice,Nessus] [Running] - Oracle VM VirtualBo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060" cy="3223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EBE6B" w14:textId="67D0A919" w:rsidR="00B012AA" w:rsidRPr="00B012AA" w:rsidRDefault="00B012AA" w:rsidP="00FD773F">
      <w:pPr>
        <w:pStyle w:val="ListParagraph"/>
        <w:numPr>
          <w:ilvl w:val="0"/>
          <w:numId w:val="10"/>
        </w:numPr>
        <w:jc w:val="both"/>
      </w:pPr>
      <w:r w:rsidRPr="00B012AA">
        <w:t xml:space="preserve">For each CVE, </w:t>
      </w:r>
      <w:r w:rsidR="00615318">
        <w:t xml:space="preserve">we </w:t>
      </w:r>
      <w:r w:rsidRPr="00B012AA">
        <w:t>examined the Common Weakness Enumeration (CWE) associated with the vulnerability. For example:</w:t>
      </w:r>
    </w:p>
    <w:p w14:paraId="4D9BE0C4" w14:textId="77777777" w:rsidR="00B012AA" w:rsidRDefault="00B012AA" w:rsidP="00FD773F">
      <w:pPr>
        <w:numPr>
          <w:ilvl w:val="1"/>
          <w:numId w:val="13"/>
        </w:numPr>
        <w:jc w:val="both"/>
      </w:pPr>
      <w:r w:rsidRPr="00B012AA">
        <w:t>CVE-2022-36067 and CVE-2023-29017 are both linked to CWE-693 (Protection Mechanism Failure), which involves weaknesses that lead to the failure of critical security mechanisms.</w:t>
      </w:r>
    </w:p>
    <w:p w14:paraId="7A82B7F9" w14:textId="77777777" w:rsidR="00615318" w:rsidRDefault="00615318" w:rsidP="00615318">
      <w:pPr>
        <w:jc w:val="both"/>
        <w:rPr>
          <w:noProof/>
        </w:rPr>
      </w:pPr>
    </w:p>
    <w:p w14:paraId="101DB953" w14:textId="5F5B61D8" w:rsidR="00195045" w:rsidRDefault="00615318" w:rsidP="00615318">
      <w:pPr>
        <w:jc w:val="both"/>
      </w:pPr>
      <w:r>
        <w:rPr>
          <w:noProof/>
        </w:rPr>
        <w:drawing>
          <wp:inline distT="0" distB="0" distL="0" distR="0" wp14:anchorId="5B654B4F" wp14:editId="2B197FDB">
            <wp:extent cx="6019800" cy="2997895"/>
            <wp:effectExtent l="19050" t="19050" r="19050" b="12065"/>
            <wp:docPr id="1537446166" name="Picture 4" descr="NVD - Result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46166" name="Picture 1537446166" descr="NVD - Results - Google Chrom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6"/>
                    <a:stretch/>
                  </pic:blipFill>
                  <pic:spPr bwMode="auto">
                    <a:xfrm>
                      <a:off x="0" y="0"/>
                      <a:ext cx="6026997" cy="3001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54975" w14:textId="77777777" w:rsidR="00036865" w:rsidRDefault="00036865" w:rsidP="00615318">
      <w:pPr>
        <w:jc w:val="both"/>
      </w:pPr>
    </w:p>
    <w:p w14:paraId="6A18C84D" w14:textId="4430684A" w:rsidR="00195045" w:rsidRDefault="00195045" w:rsidP="00615318">
      <w:pPr>
        <w:jc w:val="both"/>
      </w:pPr>
      <w:r>
        <w:rPr>
          <w:noProof/>
        </w:rPr>
        <w:drawing>
          <wp:inline distT="0" distB="0" distL="0" distR="0" wp14:anchorId="56939085" wp14:editId="12463986">
            <wp:extent cx="6009640" cy="3017320"/>
            <wp:effectExtent l="19050" t="19050" r="10160" b="12065"/>
            <wp:docPr id="119847412" name="Picture 5" descr="NVD - Result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7412" name="Picture 119847412" descr="NVD - Results - Google Chrom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9"/>
                    <a:stretch/>
                  </pic:blipFill>
                  <pic:spPr bwMode="auto">
                    <a:xfrm>
                      <a:off x="0" y="0"/>
                      <a:ext cx="6016475" cy="3020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31454" w14:textId="77777777" w:rsidR="00615318" w:rsidRPr="00B012AA" w:rsidRDefault="00615318" w:rsidP="00615318">
      <w:pPr>
        <w:jc w:val="both"/>
      </w:pPr>
    </w:p>
    <w:p w14:paraId="700AAD7F" w14:textId="6A0EDC62" w:rsidR="00B012AA" w:rsidRDefault="00B012AA" w:rsidP="00FD773F">
      <w:pPr>
        <w:numPr>
          <w:ilvl w:val="1"/>
          <w:numId w:val="13"/>
        </w:numPr>
        <w:jc w:val="both"/>
      </w:pPr>
      <w:r w:rsidRPr="00B012AA">
        <w:t>CVE-2024-0985 is mapped to CWE-89 (SQL Injection), a common and severe weakness that can lead to unauthori</w:t>
      </w:r>
      <w:r w:rsidR="00195045">
        <w:t>s</w:t>
      </w:r>
      <w:r w:rsidRPr="00B012AA">
        <w:t>ed access or data manipulation.</w:t>
      </w:r>
    </w:p>
    <w:p w14:paraId="2BA0C073" w14:textId="77777777" w:rsidR="00195045" w:rsidRDefault="00195045" w:rsidP="00195045">
      <w:pPr>
        <w:jc w:val="both"/>
        <w:rPr>
          <w:noProof/>
        </w:rPr>
      </w:pPr>
    </w:p>
    <w:p w14:paraId="179DCFA4" w14:textId="502EB9F5" w:rsidR="00195045" w:rsidRDefault="00195045" w:rsidP="00195045">
      <w:pPr>
        <w:jc w:val="both"/>
      </w:pPr>
      <w:r>
        <w:rPr>
          <w:noProof/>
        </w:rPr>
        <w:lastRenderedPageBreak/>
        <w:drawing>
          <wp:inline distT="0" distB="0" distL="0" distR="0" wp14:anchorId="440106FE" wp14:editId="6B074DF2">
            <wp:extent cx="6027814" cy="3009900"/>
            <wp:effectExtent l="19050" t="19050" r="11430" b="19050"/>
            <wp:docPr id="99549657" name="Picture 6" descr="NVD - Result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9657" name="Picture 99549657" descr="NVD - Results - Google Chrom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6"/>
                    <a:stretch/>
                  </pic:blipFill>
                  <pic:spPr bwMode="auto">
                    <a:xfrm>
                      <a:off x="0" y="0"/>
                      <a:ext cx="6036063" cy="3014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9238A" w14:textId="2B255838" w:rsidR="00FD773F" w:rsidRPr="00B012AA" w:rsidRDefault="00FD773F" w:rsidP="00FD773F">
      <w:pPr>
        <w:pStyle w:val="ListParagraph"/>
        <w:numPr>
          <w:ilvl w:val="0"/>
          <w:numId w:val="10"/>
        </w:numPr>
        <w:jc w:val="both"/>
      </w:pPr>
      <w:r w:rsidRPr="00B012AA">
        <w:t>Using the Common Attack Pattern Enumeration and Classification (CAPEC),</w:t>
      </w:r>
      <w:r>
        <w:t xml:space="preserve"> we </w:t>
      </w:r>
      <w:r w:rsidRPr="00B012AA">
        <w:t>identified the specific attack patterns related to each CVE:</w:t>
      </w:r>
    </w:p>
    <w:p w14:paraId="075E647C" w14:textId="4F464FA0" w:rsidR="008B7EE3" w:rsidRDefault="00FD773F" w:rsidP="008B7EE3">
      <w:pPr>
        <w:pStyle w:val="ListParagraph"/>
        <w:numPr>
          <w:ilvl w:val="0"/>
          <w:numId w:val="11"/>
        </w:numPr>
        <w:jc w:val="both"/>
      </w:pPr>
      <w:r w:rsidRPr="00B012AA">
        <w:t>CVE-2022-36067 and CVE-2023-29017 are linked to CAPEC-111 (Sandbox Escape), which describes techniques used to break out of a restricted execution environment, often to gain higher privileges.</w:t>
      </w:r>
    </w:p>
    <w:p w14:paraId="0751790F" w14:textId="0BCB4D35" w:rsidR="008B7EE3" w:rsidRDefault="008B7EE3" w:rsidP="008B7EE3">
      <w:pPr>
        <w:pStyle w:val="ListParagraph"/>
        <w:numPr>
          <w:ilvl w:val="0"/>
          <w:numId w:val="13"/>
        </w:numPr>
        <w:jc w:val="both"/>
      </w:pPr>
      <w:r>
        <w:t>CVE-2022-36067 and CVE-2023-29017 were associated with T1074.001 (Local File Manipulation), which involves adversaries exploiting local files for privilege escalation or post-exploitation.</w:t>
      </w:r>
    </w:p>
    <w:p w14:paraId="082A3D95" w14:textId="5789345A" w:rsidR="001823E6" w:rsidRDefault="001823E6" w:rsidP="001823E6">
      <w:pPr>
        <w:jc w:val="both"/>
      </w:pPr>
      <w:hyperlink r:id="rId11" w:history="1">
        <w:r w:rsidRPr="00E726C1">
          <w:rPr>
            <w:rStyle w:val="Hyperlink"/>
          </w:rPr>
          <w:t>https://attack.mitre.org/techniques/T1074/001/</w:t>
        </w:r>
      </w:hyperlink>
      <w:r>
        <w:t xml:space="preserve"> </w:t>
      </w:r>
    </w:p>
    <w:p w14:paraId="56D61A53" w14:textId="1364414F" w:rsidR="001823E6" w:rsidRPr="00B012AA" w:rsidRDefault="001823E6" w:rsidP="001823E6">
      <w:pPr>
        <w:jc w:val="both"/>
      </w:pPr>
      <w:r>
        <w:rPr>
          <w:noProof/>
        </w:rPr>
        <w:lastRenderedPageBreak/>
        <w:drawing>
          <wp:inline distT="0" distB="0" distL="0" distR="0" wp14:anchorId="3B3AD747" wp14:editId="602A06A4">
            <wp:extent cx="6164005" cy="3086100"/>
            <wp:effectExtent l="19050" t="19050" r="27305" b="19050"/>
            <wp:docPr id="716472677" name="Picture 7" descr="Data Staged: Local Data Staging, Sub-technique T1074.001 - Enterprise | MITRE ATT&amp;CK®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72677" name="Picture 716472677" descr="Data Staged: Local Data Staging, Sub-technique T1074.001 - Enterprise | MITRE ATT&amp;CK® - Google Chrom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6"/>
                    <a:stretch/>
                  </pic:blipFill>
                  <pic:spPr bwMode="auto">
                    <a:xfrm>
                      <a:off x="0" y="0"/>
                      <a:ext cx="6166258" cy="3087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C9AB7" w14:textId="6954E945" w:rsidR="00FD773F" w:rsidRDefault="00FD773F" w:rsidP="008B7EE3">
      <w:pPr>
        <w:pStyle w:val="ListParagraph"/>
        <w:numPr>
          <w:ilvl w:val="0"/>
          <w:numId w:val="11"/>
        </w:numPr>
        <w:jc w:val="both"/>
      </w:pPr>
      <w:r w:rsidRPr="00B012AA">
        <w:t>CVE-2024-0985 relates to CAPEC-66 (SQL Injection), an attack that involves injecting malicious SQL code into an application to manipulate its database.</w:t>
      </w:r>
    </w:p>
    <w:p w14:paraId="06E6D574" w14:textId="45082F73" w:rsidR="008B7EE3" w:rsidRDefault="008B7EE3" w:rsidP="008B7EE3">
      <w:pPr>
        <w:pStyle w:val="ListParagraph"/>
        <w:numPr>
          <w:ilvl w:val="0"/>
          <w:numId w:val="13"/>
        </w:numPr>
        <w:jc w:val="both"/>
      </w:pPr>
      <w:r>
        <w:t>CVE-2024-0985 was linked to T1190 (Exploit Public-Facing Application), where adversaries target vulnerabilities in public-facing services or applications to gain initial access.</w:t>
      </w:r>
    </w:p>
    <w:p w14:paraId="511B46D1" w14:textId="77777777" w:rsidR="001823E6" w:rsidRDefault="001823E6" w:rsidP="001823E6">
      <w:pPr>
        <w:ind w:left="360"/>
        <w:jc w:val="both"/>
      </w:pPr>
      <w:hyperlink r:id="rId13" w:history="1">
        <w:r w:rsidRPr="00E726C1">
          <w:rPr>
            <w:rStyle w:val="Hyperlink"/>
          </w:rPr>
          <w:t>https://attack.mitre.org/techniques/T1190/</w:t>
        </w:r>
      </w:hyperlink>
    </w:p>
    <w:p w14:paraId="3F10ECB1" w14:textId="074E9B13" w:rsidR="001823E6" w:rsidRDefault="001823E6" w:rsidP="001823E6">
      <w:pPr>
        <w:jc w:val="both"/>
      </w:pPr>
      <w:r>
        <w:rPr>
          <w:noProof/>
        </w:rPr>
        <w:drawing>
          <wp:inline distT="0" distB="0" distL="0" distR="0" wp14:anchorId="5DA0FAE3" wp14:editId="46590538">
            <wp:extent cx="6112761" cy="3044190"/>
            <wp:effectExtent l="19050" t="19050" r="21590" b="22860"/>
            <wp:docPr id="1654964116" name="Picture 8" descr="Exploit Public-Facing Application, Technique T1190 - Enterprise | MITRE ATT&amp;CK®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64116" name="Picture 1654964116" descr="Exploit Public-Facing Application, Technique T1190 - Enterprise | MITRE ATT&amp;CK® - Google Chrom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6"/>
                    <a:stretch/>
                  </pic:blipFill>
                  <pic:spPr bwMode="auto">
                    <a:xfrm>
                      <a:off x="0" y="0"/>
                      <a:ext cx="6114680" cy="3045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B924F" w14:textId="1B39D862" w:rsidR="00FD773F" w:rsidRDefault="00FD773F" w:rsidP="00FD773F">
      <w:pPr>
        <w:pStyle w:val="ListParagraph"/>
        <w:numPr>
          <w:ilvl w:val="0"/>
          <w:numId w:val="10"/>
        </w:numPr>
        <w:jc w:val="both"/>
      </w:pPr>
      <w:r>
        <w:lastRenderedPageBreak/>
        <w:t>We</w:t>
      </w:r>
      <w:r>
        <w:t xml:space="preserve"> researched whether these techniques were commonly used by the </w:t>
      </w:r>
      <w:proofErr w:type="spellStart"/>
      <w:r>
        <w:t>BumbleBee</w:t>
      </w:r>
      <w:proofErr w:type="spellEnd"/>
      <w:r>
        <w:t xml:space="preserve"> malware or similar threat actors:</w:t>
      </w:r>
    </w:p>
    <w:p w14:paraId="2218826B" w14:textId="1087D5E0" w:rsidR="00FD773F" w:rsidRDefault="00FD773F" w:rsidP="00FD773F">
      <w:pPr>
        <w:pStyle w:val="ListParagraph"/>
        <w:numPr>
          <w:ilvl w:val="0"/>
          <w:numId w:val="18"/>
        </w:numPr>
        <w:jc w:val="both"/>
      </w:pPr>
      <w:r>
        <w:t xml:space="preserve">Both CVE-2022-36067 and CVE-2023-29017 involve sandbox escapes, which are relevant to </w:t>
      </w:r>
      <w:proofErr w:type="spellStart"/>
      <w:r>
        <w:t>BumbleBee's</w:t>
      </w:r>
      <w:proofErr w:type="spellEnd"/>
      <w:r>
        <w:t xml:space="preserve"> post-compromise activities. Threat actors, including </w:t>
      </w:r>
      <w:proofErr w:type="spellStart"/>
      <w:r>
        <w:t>BumbleBee</w:t>
      </w:r>
      <w:proofErr w:type="spellEnd"/>
      <w:r>
        <w:t>, frequently use similar techniques to elevate privileges.</w:t>
      </w:r>
    </w:p>
    <w:p w14:paraId="0DC00B35" w14:textId="06EFEE63" w:rsidR="00FD773F" w:rsidRDefault="00FD773F" w:rsidP="00FD773F">
      <w:pPr>
        <w:pStyle w:val="ListParagraph"/>
        <w:numPr>
          <w:ilvl w:val="0"/>
          <w:numId w:val="18"/>
        </w:numPr>
        <w:jc w:val="both"/>
      </w:pPr>
      <w:r>
        <w:t xml:space="preserve">CVE-2024-0985 is a classic SQL injection attack, a method often utilized in reconnaissance and initial access phases. </w:t>
      </w:r>
      <w:proofErr w:type="spellStart"/>
      <w:r>
        <w:t>BumbleBee</w:t>
      </w:r>
      <w:proofErr w:type="spellEnd"/>
      <w:r>
        <w:t xml:space="preserve"> is known for phishing campaigns that exploit public-facing vulnerabilities (T1190), making this a potential vector for initial access.</w:t>
      </w:r>
    </w:p>
    <w:p w14:paraId="7F301029" w14:textId="5AAC6700" w:rsidR="00B012AA" w:rsidRPr="00FD773F" w:rsidRDefault="00FD773F" w:rsidP="00FD773F">
      <w:pPr>
        <w:pStyle w:val="ListParagraph"/>
        <w:numPr>
          <w:ilvl w:val="0"/>
          <w:numId w:val="10"/>
        </w:numPr>
        <w:jc w:val="both"/>
      </w:pPr>
      <w:r w:rsidRPr="00FD773F">
        <w:t xml:space="preserve">After gathering and </w:t>
      </w:r>
      <w:r w:rsidRPr="00FD773F">
        <w:t>analysing</w:t>
      </w:r>
      <w:r w:rsidRPr="00FD773F">
        <w:t xml:space="preserve"> this information, </w:t>
      </w:r>
      <w:r>
        <w:t>we</w:t>
      </w:r>
      <w:r w:rsidRPr="00FD773F">
        <w:t xml:space="preserve"> organi</w:t>
      </w:r>
      <w:r>
        <w:t>s</w:t>
      </w:r>
      <w:r w:rsidRPr="00FD773F">
        <w:t xml:space="preserve">ed it into a structured format, filling in the CWE, CAPEC, ATT&amp;CK, and Used by Threat Actor columns. This helped illustrate the connection between each CVE and how it could be exploited by </w:t>
      </w:r>
      <w:proofErr w:type="spellStart"/>
      <w:r w:rsidRPr="00FD773F">
        <w:t>BumbleBee</w:t>
      </w:r>
      <w:proofErr w:type="spellEnd"/>
      <w:r w:rsidRPr="00FD773F">
        <w:t xml:space="preserve"> or similar threat actors.</w:t>
      </w:r>
    </w:p>
    <w:p w14:paraId="1E6C8A28" w14:textId="51181EC1" w:rsidR="00C11941" w:rsidRPr="00C11941" w:rsidRDefault="00C11941" w:rsidP="00FD773F">
      <w:pPr>
        <w:jc w:val="both"/>
        <w:rPr>
          <w:b/>
          <w:bCs/>
        </w:rPr>
      </w:pPr>
      <w:r w:rsidRPr="00C11941">
        <w:rPr>
          <w:b/>
          <w:bCs/>
        </w:rPr>
        <w:t>CVE-2022-36067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2551"/>
        <w:gridCol w:w="2784"/>
      </w:tblGrid>
      <w:tr w:rsidR="00C11941" w:rsidRPr="00C11941" w14:paraId="577BDA67" w14:textId="77777777" w:rsidTr="00C11941">
        <w:tc>
          <w:tcPr>
            <w:tcW w:w="1413" w:type="dxa"/>
          </w:tcPr>
          <w:p w14:paraId="1C1A8ED6" w14:textId="39210C82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CWE</w:t>
            </w:r>
          </w:p>
        </w:tc>
        <w:tc>
          <w:tcPr>
            <w:tcW w:w="2268" w:type="dxa"/>
          </w:tcPr>
          <w:p w14:paraId="41E6639C" w14:textId="77FFE171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CAPEC</w:t>
            </w:r>
          </w:p>
        </w:tc>
        <w:tc>
          <w:tcPr>
            <w:tcW w:w="2551" w:type="dxa"/>
          </w:tcPr>
          <w:p w14:paraId="3E883688" w14:textId="6FE8D897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ATT&amp;CK</w:t>
            </w:r>
          </w:p>
        </w:tc>
        <w:tc>
          <w:tcPr>
            <w:tcW w:w="2784" w:type="dxa"/>
          </w:tcPr>
          <w:p w14:paraId="0AA0D79A" w14:textId="6B998A1D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Used by Threat Actor</w:t>
            </w:r>
          </w:p>
        </w:tc>
      </w:tr>
      <w:tr w:rsidR="00C11941" w:rsidRPr="00C11941" w14:paraId="6400CBDE" w14:textId="77777777" w:rsidTr="00C11941">
        <w:tc>
          <w:tcPr>
            <w:tcW w:w="1413" w:type="dxa"/>
          </w:tcPr>
          <w:p w14:paraId="457688BE" w14:textId="60E6BABE" w:rsidR="00C11941" w:rsidRPr="00C11941" w:rsidRDefault="00C11941" w:rsidP="00FD773F">
            <w:pPr>
              <w:jc w:val="both"/>
            </w:pPr>
            <w:r>
              <w:t>CWE-693</w:t>
            </w:r>
          </w:p>
        </w:tc>
        <w:tc>
          <w:tcPr>
            <w:tcW w:w="2268" w:type="dxa"/>
          </w:tcPr>
          <w:p w14:paraId="6F68CD5E" w14:textId="1F2643BC" w:rsidR="00C11941" w:rsidRPr="00C11941" w:rsidRDefault="00C11941" w:rsidP="00FD773F">
            <w:pPr>
              <w:jc w:val="both"/>
            </w:pPr>
            <w:r w:rsidRPr="00C11941">
              <w:t>CAPEC-111 (Sandbox Escape)</w:t>
            </w:r>
          </w:p>
        </w:tc>
        <w:tc>
          <w:tcPr>
            <w:tcW w:w="2551" w:type="dxa"/>
          </w:tcPr>
          <w:p w14:paraId="229B8204" w14:textId="51F2472E" w:rsidR="00C11941" w:rsidRPr="00C11941" w:rsidRDefault="00C11941" w:rsidP="00FD773F">
            <w:pPr>
              <w:jc w:val="both"/>
            </w:pPr>
            <w:r w:rsidRPr="00C11941">
              <w:t>T1074.001 (Local File Manipulation)</w:t>
            </w:r>
          </w:p>
        </w:tc>
        <w:tc>
          <w:tcPr>
            <w:tcW w:w="2784" w:type="dxa"/>
          </w:tcPr>
          <w:p w14:paraId="42D79876" w14:textId="6C1C3768" w:rsidR="00C11941" w:rsidRPr="00C11941" w:rsidRDefault="00C11941" w:rsidP="00FD773F">
            <w:pPr>
              <w:jc w:val="both"/>
            </w:pPr>
            <w:r w:rsidRPr="00C11941">
              <w:t>Yes</w:t>
            </w:r>
            <w:r w:rsidR="00B012AA">
              <w:t xml:space="preserve">, </w:t>
            </w:r>
            <w:r w:rsidR="00B012AA" w:rsidRPr="00B012AA">
              <w:t>similar techniques used for privilege escalation or exploitation</w:t>
            </w:r>
          </w:p>
        </w:tc>
      </w:tr>
    </w:tbl>
    <w:p w14:paraId="1862496E" w14:textId="77777777" w:rsidR="00C11941" w:rsidRPr="00C11941" w:rsidRDefault="00C11941" w:rsidP="00FD773F">
      <w:pPr>
        <w:jc w:val="both"/>
      </w:pPr>
    </w:p>
    <w:p w14:paraId="13CD7DEE" w14:textId="5CB58550" w:rsidR="00C11941" w:rsidRPr="00C11941" w:rsidRDefault="00C11941" w:rsidP="00FD773F">
      <w:pPr>
        <w:jc w:val="both"/>
        <w:rPr>
          <w:b/>
          <w:bCs/>
        </w:rPr>
      </w:pPr>
      <w:r w:rsidRPr="00C11941">
        <w:rPr>
          <w:b/>
          <w:bCs/>
        </w:rPr>
        <w:t>CVE-2023-29017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2551"/>
        <w:gridCol w:w="2784"/>
      </w:tblGrid>
      <w:tr w:rsidR="00C11941" w:rsidRPr="00C11941" w14:paraId="323A090F" w14:textId="77777777" w:rsidTr="00891506">
        <w:tc>
          <w:tcPr>
            <w:tcW w:w="1413" w:type="dxa"/>
          </w:tcPr>
          <w:p w14:paraId="4D64E26F" w14:textId="77777777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CWE</w:t>
            </w:r>
          </w:p>
        </w:tc>
        <w:tc>
          <w:tcPr>
            <w:tcW w:w="2268" w:type="dxa"/>
          </w:tcPr>
          <w:p w14:paraId="324FA766" w14:textId="77777777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CAPEC</w:t>
            </w:r>
          </w:p>
        </w:tc>
        <w:tc>
          <w:tcPr>
            <w:tcW w:w="2551" w:type="dxa"/>
          </w:tcPr>
          <w:p w14:paraId="34D5BD30" w14:textId="77777777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ATT&amp;CK</w:t>
            </w:r>
          </w:p>
        </w:tc>
        <w:tc>
          <w:tcPr>
            <w:tcW w:w="2784" w:type="dxa"/>
          </w:tcPr>
          <w:p w14:paraId="06C798B5" w14:textId="77777777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Used by Threat Actor</w:t>
            </w:r>
          </w:p>
        </w:tc>
      </w:tr>
      <w:tr w:rsidR="00C11941" w:rsidRPr="00C11941" w14:paraId="71E3B779" w14:textId="77777777" w:rsidTr="00891506">
        <w:tc>
          <w:tcPr>
            <w:tcW w:w="1413" w:type="dxa"/>
          </w:tcPr>
          <w:p w14:paraId="501175DF" w14:textId="762266F2" w:rsidR="00C11941" w:rsidRPr="00C11941" w:rsidRDefault="00C11941" w:rsidP="00FD773F">
            <w:pPr>
              <w:jc w:val="both"/>
            </w:pPr>
            <w:r>
              <w:t>CWE-693</w:t>
            </w:r>
          </w:p>
        </w:tc>
        <w:tc>
          <w:tcPr>
            <w:tcW w:w="2268" w:type="dxa"/>
          </w:tcPr>
          <w:p w14:paraId="48E3D12A" w14:textId="77777777" w:rsidR="00C11941" w:rsidRPr="00C11941" w:rsidRDefault="00C11941" w:rsidP="00FD773F">
            <w:pPr>
              <w:jc w:val="both"/>
            </w:pPr>
            <w:r w:rsidRPr="00C11941">
              <w:t>CAPEC-111 (Sandbox Escape)</w:t>
            </w:r>
          </w:p>
        </w:tc>
        <w:tc>
          <w:tcPr>
            <w:tcW w:w="2551" w:type="dxa"/>
          </w:tcPr>
          <w:p w14:paraId="66DC1A56" w14:textId="77777777" w:rsidR="00C11941" w:rsidRPr="00C11941" w:rsidRDefault="00C11941" w:rsidP="00FD773F">
            <w:pPr>
              <w:jc w:val="both"/>
            </w:pPr>
            <w:r w:rsidRPr="00C11941">
              <w:t>T1074.001 (Local File Manipulation)</w:t>
            </w:r>
          </w:p>
        </w:tc>
        <w:tc>
          <w:tcPr>
            <w:tcW w:w="2784" w:type="dxa"/>
          </w:tcPr>
          <w:p w14:paraId="24EB4C88" w14:textId="35014759" w:rsidR="00C11941" w:rsidRPr="00C11941" w:rsidRDefault="00C11941" w:rsidP="00FD773F">
            <w:pPr>
              <w:jc w:val="both"/>
            </w:pPr>
            <w:r w:rsidRPr="00C11941">
              <w:t>Yes</w:t>
            </w:r>
            <w:r w:rsidR="00B012AA">
              <w:t xml:space="preserve">, </w:t>
            </w:r>
            <w:r w:rsidR="00B012AA" w:rsidRPr="00B012AA">
              <w:t>aligns with post-compromise techniques like sandbox escapes</w:t>
            </w:r>
          </w:p>
        </w:tc>
      </w:tr>
    </w:tbl>
    <w:p w14:paraId="19560368" w14:textId="77777777" w:rsidR="00C11941" w:rsidRPr="00C11941" w:rsidRDefault="00C11941" w:rsidP="00FD773F">
      <w:pPr>
        <w:jc w:val="both"/>
      </w:pPr>
    </w:p>
    <w:p w14:paraId="76579199" w14:textId="655942AF" w:rsidR="00C11941" w:rsidRPr="00C11941" w:rsidRDefault="00C11941" w:rsidP="00FD773F">
      <w:pPr>
        <w:jc w:val="both"/>
        <w:rPr>
          <w:b/>
          <w:bCs/>
        </w:rPr>
      </w:pPr>
      <w:r w:rsidRPr="00C11941">
        <w:rPr>
          <w:b/>
          <w:bCs/>
        </w:rPr>
        <w:t>CVE-2024-0985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2551"/>
        <w:gridCol w:w="2784"/>
      </w:tblGrid>
      <w:tr w:rsidR="00C11941" w:rsidRPr="00C11941" w14:paraId="61728147" w14:textId="77777777" w:rsidTr="00891506">
        <w:tc>
          <w:tcPr>
            <w:tcW w:w="1413" w:type="dxa"/>
          </w:tcPr>
          <w:p w14:paraId="18798176" w14:textId="77777777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CWE</w:t>
            </w:r>
          </w:p>
        </w:tc>
        <w:tc>
          <w:tcPr>
            <w:tcW w:w="2268" w:type="dxa"/>
          </w:tcPr>
          <w:p w14:paraId="08684E7B" w14:textId="77777777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CAPEC</w:t>
            </w:r>
          </w:p>
        </w:tc>
        <w:tc>
          <w:tcPr>
            <w:tcW w:w="2551" w:type="dxa"/>
          </w:tcPr>
          <w:p w14:paraId="24978A85" w14:textId="77777777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ATT&amp;CK</w:t>
            </w:r>
          </w:p>
        </w:tc>
        <w:tc>
          <w:tcPr>
            <w:tcW w:w="2784" w:type="dxa"/>
          </w:tcPr>
          <w:p w14:paraId="64A9CEE1" w14:textId="77777777" w:rsidR="00C11941" w:rsidRPr="00C11941" w:rsidRDefault="00C11941" w:rsidP="00FD773F">
            <w:pPr>
              <w:jc w:val="both"/>
              <w:rPr>
                <w:b/>
                <w:bCs/>
              </w:rPr>
            </w:pPr>
            <w:r w:rsidRPr="00C11941">
              <w:rPr>
                <w:b/>
                <w:bCs/>
              </w:rPr>
              <w:t>Used by Threat Actor</w:t>
            </w:r>
          </w:p>
        </w:tc>
      </w:tr>
      <w:tr w:rsidR="00C11941" w:rsidRPr="00C11941" w14:paraId="2EE5F832" w14:textId="77777777" w:rsidTr="00891506">
        <w:tc>
          <w:tcPr>
            <w:tcW w:w="1413" w:type="dxa"/>
          </w:tcPr>
          <w:p w14:paraId="5890570A" w14:textId="75D022AB" w:rsidR="00C11941" w:rsidRPr="00C11941" w:rsidRDefault="00C11941" w:rsidP="00FD773F">
            <w:pPr>
              <w:jc w:val="both"/>
            </w:pPr>
            <w:r w:rsidRPr="00C11941">
              <w:t>CWE-89</w:t>
            </w:r>
          </w:p>
        </w:tc>
        <w:tc>
          <w:tcPr>
            <w:tcW w:w="2268" w:type="dxa"/>
          </w:tcPr>
          <w:p w14:paraId="3468058E" w14:textId="658CEA3A" w:rsidR="00C11941" w:rsidRPr="00C11941" w:rsidRDefault="00C11941" w:rsidP="00FD773F">
            <w:pPr>
              <w:jc w:val="both"/>
            </w:pPr>
            <w:r w:rsidRPr="00C11941">
              <w:t>CAPEC-66 (SQL Injection)</w:t>
            </w:r>
          </w:p>
        </w:tc>
        <w:tc>
          <w:tcPr>
            <w:tcW w:w="2551" w:type="dxa"/>
          </w:tcPr>
          <w:p w14:paraId="15A9FA25" w14:textId="5B4E8A37" w:rsidR="00C11941" w:rsidRPr="00C11941" w:rsidRDefault="00C11941" w:rsidP="00FD773F">
            <w:pPr>
              <w:jc w:val="both"/>
            </w:pPr>
            <w:r w:rsidRPr="00C11941">
              <w:t>T1190 (Exploit Public-Facing Application)</w:t>
            </w:r>
          </w:p>
        </w:tc>
        <w:tc>
          <w:tcPr>
            <w:tcW w:w="2784" w:type="dxa"/>
          </w:tcPr>
          <w:p w14:paraId="34EE23F3" w14:textId="6CACBE4C" w:rsidR="00C11941" w:rsidRPr="00C11941" w:rsidRDefault="00C11941" w:rsidP="00FD773F">
            <w:pPr>
              <w:jc w:val="both"/>
            </w:pPr>
            <w:r w:rsidRPr="00C11941">
              <w:t>Yes</w:t>
            </w:r>
            <w:r w:rsidR="00B012AA">
              <w:t xml:space="preserve">, </w:t>
            </w:r>
            <w:r w:rsidR="00B012AA" w:rsidRPr="00B012AA">
              <w:t xml:space="preserve">aligns with </w:t>
            </w:r>
            <w:proofErr w:type="spellStart"/>
            <w:r w:rsidR="00B012AA" w:rsidRPr="00B012AA">
              <w:t>BumbleBee’s</w:t>
            </w:r>
            <w:proofErr w:type="spellEnd"/>
            <w:r w:rsidR="00B012AA" w:rsidRPr="00B012AA">
              <w:t xml:space="preserve"> reconnaissance and phishing methods</w:t>
            </w:r>
          </w:p>
        </w:tc>
      </w:tr>
    </w:tbl>
    <w:p w14:paraId="2603AED9" w14:textId="77777777" w:rsidR="00C11941" w:rsidRPr="00C11941" w:rsidRDefault="00C11941" w:rsidP="00FD773F">
      <w:pPr>
        <w:jc w:val="both"/>
      </w:pPr>
    </w:p>
    <w:p w14:paraId="159C0D38" w14:textId="43638053" w:rsidR="00B012AA" w:rsidRPr="00B012AA" w:rsidRDefault="00B012AA" w:rsidP="00FD773F">
      <w:pPr>
        <w:pStyle w:val="ListParagraph"/>
        <w:numPr>
          <w:ilvl w:val="0"/>
          <w:numId w:val="2"/>
        </w:numPr>
        <w:jc w:val="both"/>
      </w:pPr>
      <w:r w:rsidRPr="00B012AA">
        <w:rPr>
          <w:b/>
          <w:bCs/>
        </w:rPr>
        <w:t>CVE-2022-36067 and CVE-2023-29017:</w:t>
      </w:r>
      <w:r w:rsidRPr="00B012AA">
        <w:t xml:space="preserve"> Both relate to sandbox breakout vulnerabilities (CWE-693, CAPEC-111). These vulnerabilities can be mapped to the ATT&amp;CK technique T1074.001, used for local file manipulation, which is a typical step post-exploitation by threat actors, including </w:t>
      </w:r>
      <w:proofErr w:type="spellStart"/>
      <w:r w:rsidRPr="00B012AA">
        <w:t>BumbleBee</w:t>
      </w:r>
      <w:proofErr w:type="spellEnd"/>
      <w:r w:rsidRPr="00B012AA">
        <w:t>.</w:t>
      </w:r>
    </w:p>
    <w:p w14:paraId="1EB3EC78" w14:textId="3467A315" w:rsidR="00B012AA" w:rsidRPr="00B012AA" w:rsidRDefault="00B012AA" w:rsidP="00FD773F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B012AA">
        <w:rPr>
          <w:b/>
          <w:bCs/>
        </w:rPr>
        <w:t xml:space="preserve">CVE-2024-0985: </w:t>
      </w:r>
      <w:r>
        <w:rPr>
          <w:b/>
          <w:bCs/>
        </w:rPr>
        <w:t xml:space="preserve"> </w:t>
      </w:r>
      <w:r w:rsidRPr="00B012AA">
        <w:t xml:space="preserve">This is a SQL injection vulnerability (CWE-89, CAPEC-66). It maps to T1190, which covers exploitation of public-facing applications, a common tactic for threat actors like </w:t>
      </w:r>
      <w:proofErr w:type="spellStart"/>
      <w:r w:rsidRPr="00B012AA">
        <w:t>BumbleBee</w:t>
      </w:r>
      <w:proofErr w:type="spellEnd"/>
      <w:r w:rsidRPr="00B012AA">
        <w:t xml:space="preserve"> to gain initial access.</w:t>
      </w:r>
    </w:p>
    <w:p w14:paraId="7C41414A" w14:textId="1AAFBCCB" w:rsidR="00FD773F" w:rsidRPr="00B012AA" w:rsidRDefault="00FD773F" w:rsidP="00FD773F">
      <w:pPr>
        <w:pStyle w:val="ListParagraph"/>
        <w:numPr>
          <w:ilvl w:val="0"/>
          <w:numId w:val="10"/>
        </w:numPr>
        <w:jc w:val="both"/>
      </w:pPr>
      <w:r w:rsidRPr="00B012AA">
        <w:t xml:space="preserve">Based on the analysis of exploitability and threat actor </w:t>
      </w:r>
      <w:r w:rsidRPr="00B012AA">
        <w:t>behaviours</w:t>
      </w:r>
      <w:r w:rsidRPr="00B012AA">
        <w:t xml:space="preserve">, I concluded whether each CVE required action. Since the techniques and attack patterns used by </w:t>
      </w:r>
      <w:proofErr w:type="spellStart"/>
      <w:r w:rsidRPr="00B012AA">
        <w:t>BumbleBee</w:t>
      </w:r>
      <w:proofErr w:type="spellEnd"/>
      <w:r w:rsidRPr="00B012AA">
        <w:t xml:space="preserve"> aligned with the vulnerabilities, I recommended prioritizing these for remediation to reduce the likelihood of exploitation.</w:t>
      </w:r>
    </w:p>
    <w:p w14:paraId="741BE08D" w14:textId="77777777" w:rsidR="00C11941" w:rsidRDefault="00C11941"/>
    <w:sectPr w:rsidR="00C11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644DE"/>
    <w:multiLevelType w:val="multilevel"/>
    <w:tmpl w:val="70E8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64068"/>
    <w:multiLevelType w:val="multilevel"/>
    <w:tmpl w:val="0A48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951409"/>
    <w:multiLevelType w:val="multilevel"/>
    <w:tmpl w:val="D968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3D6437"/>
    <w:multiLevelType w:val="multilevel"/>
    <w:tmpl w:val="D968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091BEE"/>
    <w:multiLevelType w:val="multilevel"/>
    <w:tmpl w:val="64E04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CE6204"/>
    <w:multiLevelType w:val="hybridMultilevel"/>
    <w:tmpl w:val="1FF43ED8"/>
    <w:lvl w:ilvl="0" w:tplc="3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7204B8"/>
    <w:multiLevelType w:val="multilevel"/>
    <w:tmpl w:val="85D8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5E6A0F"/>
    <w:multiLevelType w:val="multilevel"/>
    <w:tmpl w:val="084A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E744E6"/>
    <w:multiLevelType w:val="multilevel"/>
    <w:tmpl w:val="D968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F762F7"/>
    <w:multiLevelType w:val="hybridMultilevel"/>
    <w:tmpl w:val="5B5C4C08"/>
    <w:lvl w:ilvl="0" w:tplc="3009000F">
      <w:start w:val="1"/>
      <w:numFmt w:val="decimal"/>
      <w:lvlText w:val="%1.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F41AAD"/>
    <w:multiLevelType w:val="multilevel"/>
    <w:tmpl w:val="3362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F94DAC"/>
    <w:multiLevelType w:val="multilevel"/>
    <w:tmpl w:val="6A768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2846F6"/>
    <w:multiLevelType w:val="multilevel"/>
    <w:tmpl w:val="0E402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881C68"/>
    <w:multiLevelType w:val="multilevel"/>
    <w:tmpl w:val="D968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183063"/>
    <w:multiLevelType w:val="multilevel"/>
    <w:tmpl w:val="D968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EA3685"/>
    <w:multiLevelType w:val="hybridMultilevel"/>
    <w:tmpl w:val="86FE5F6E"/>
    <w:lvl w:ilvl="0" w:tplc="3009000F">
      <w:start w:val="1"/>
      <w:numFmt w:val="decimal"/>
      <w:lvlText w:val="%1.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A5247"/>
    <w:multiLevelType w:val="multilevel"/>
    <w:tmpl w:val="D968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F0004F"/>
    <w:multiLevelType w:val="multilevel"/>
    <w:tmpl w:val="0472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7532592">
    <w:abstractNumId w:val="4"/>
  </w:num>
  <w:num w:numId="2" w16cid:durableId="428279562">
    <w:abstractNumId w:val="5"/>
  </w:num>
  <w:num w:numId="3" w16cid:durableId="2137681164">
    <w:abstractNumId w:val="1"/>
  </w:num>
  <w:num w:numId="4" w16cid:durableId="689600401">
    <w:abstractNumId w:val="7"/>
  </w:num>
  <w:num w:numId="5" w16cid:durableId="356736231">
    <w:abstractNumId w:val="10"/>
  </w:num>
  <w:num w:numId="6" w16cid:durableId="1082870198">
    <w:abstractNumId w:val="12"/>
  </w:num>
  <w:num w:numId="7" w16cid:durableId="718630713">
    <w:abstractNumId w:val="0"/>
  </w:num>
  <w:num w:numId="8" w16cid:durableId="1167329980">
    <w:abstractNumId w:val="6"/>
  </w:num>
  <w:num w:numId="9" w16cid:durableId="645285493">
    <w:abstractNumId w:val="17"/>
  </w:num>
  <w:num w:numId="10" w16cid:durableId="1225868524">
    <w:abstractNumId w:val="9"/>
  </w:num>
  <w:num w:numId="11" w16cid:durableId="1783911442">
    <w:abstractNumId w:val="3"/>
  </w:num>
  <w:num w:numId="12" w16cid:durableId="212354037">
    <w:abstractNumId w:val="8"/>
  </w:num>
  <w:num w:numId="13" w16cid:durableId="7829873">
    <w:abstractNumId w:val="11"/>
  </w:num>
  <w:num w:numId="14" w16cid:durableId="1931111250">
    <w:abstractNumId w:val="14"/>
  </w:num>
  <w:num w:numId="15" w16cid:durableId="162094174">
    <w:abstractNumId w:val="13"/>
  </w:num>
  <w:num w:numId="16" w16cid:durableId="201988947">
    <w:abstractNumId w:val="15"/>
  </w:num>
  <w:num w:numId="17" w16cid:durableId="516119327">
    <w:abstractNumId w:val="16"/>
  </w:num>
  <w:num w:numId="18" w16cid:durableId="665322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941"/>
    <w:rsid w:val="00036865"/>
    <w:rsid w:val="00163F0C"/>
    <w:rsid w:val="001823E6"/>
    <w:rsid w:val="00195045"/>
    <w:rsid w:val="00583BDD"/>
    <w:rsid w:val="00615318"/>
    <w:rsid w:val="00895F79"/>
    <w:rsid w:val="008B1ED6"/>
    <w:rsid w:val="008B740F"/>
    <w:rsid w:val="008B7EE3"/>
    <w:rsid w:val="00B012AA"/>
    <w:rsid w:val="00B81993"/>
    <w:rsid w:val="00C11941"/>
    <w:rsid w:val="00FD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1F02C"/>
  <w15:chartTrackingRefBased/>
  <w15:docId w15:val="{18F0957B-BAD7-470D-BC9F-923D42751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ZW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9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19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194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94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94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94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94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94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94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9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19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194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94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94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94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9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94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94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19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94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194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19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19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19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19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9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9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194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1194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823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hyperlink" Target="https://attack.mitre.org/techniques/T119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hyperlink" Target="https://attack.mitre.org/techniques/T1074/001/" TargetMode="External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Moncayo</dc:creator>
  <cp:keywords/>
  <dc:description/>
  <cp:lastModifiedBy>Laura Moncayo</cp:lastModifiedBy>
  <cp:revision>1</cp:revision>
  <dcterms:created xsi:type="dcterms:W3CDTF">2024-09-06T01:48:00Z</dcterms:created>
  <dcterms:modified xsi:type="dcterms:W3CDTF">2024-09-06T03:19:00Z</dcterms:modified>
</cp:coreProperties>
</file>