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AC765" w14:textId="77777777" w:rsidR="00797BC1" w:rsidRPr="00797BC1" w:rsidRDefault="00797BC1" w:rsidP="00797BC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797BC1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I2C总线协议详解</w:t>
      </w:r>
    </w:p>
    <w:p w14:paraId="1E102D15" w14:textId="6A78AE1A" w:rsidR="00797BC1" w:rsidRPr="00797BC1" w:rsidRDefault="00797BC1" w:rsidP="00797BC1">
      <w:pPr>
        <w:widowControl/>
        <w:shd w:val="clear" w:color="auto" w:fill="F7F7FC"/>
        <w:jc w:val="left"/>
        <w:rPr>
          <w:rFonts w:ascii="微软雅黑" w:eastAsia="微软雅黑" w:hAnsi="微软雅黑" w:cs="宋体" w:hint="eastAsia"/>
          <w:color w:val="999AAA"/>
          <w:kern w:val="0"/>
          <w:szCs w:val="21"/>
        </w:rPr>
      </w:pPr>
      <w:r w:rsidRPr="00797BC1">
        <w:rPr>
          <w:rFonts w:ascii="微软雅黑" w:eastAsia="微软雅黑" w:hAnsi="微软雅黑" w:cs="宋体"/>
          <w:noProof/>
          <w:color w:val="999AAA"/>
          <w:kern w:val="0"/>
          <w:szCs w:val="21"/>
        </w:rPr>
        <w:drawing>
          <wp:inline distT="0" distB="0" distL="0" distR="0" wp14:anchorId="2B8710D4" wp14:editId="13D8426B">
            <wp:extent cx="685800" cy="609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4BBA" w14:textId="4DBAE6E0" w:rsidR="00797BC1" w:rsidRPr="00797BC1" w:rsidRDefault="00797BC1" w:rsidP="00797BC1">
      <w:pPr>
        <w:widowControl/>
        <w:shd w:val="clear" w:color="auto" w:fill="F7F7FC"/>
        <w:jc w:val="left"/>
        <w:rPr>
          <w:rFonts w:ascii="微软雅黑" w:eastAsia="微软雅黑" w:hAnsi="微软雅黑" w:cs="宋体" w:hint="eastAsia"/>
          <w:color w:val="999AAA"/>
          <w:kern w:val="0"/>
          <w:szCs w:val="21"/>
        </w:rPr>
      </w:pPr>
      <w:hyperlink r:id="rId5" w:tgtFrame="_blank" w:history="1">
        <w:r w:rsidRPr="00797BC1">
          <w:rPr>
            <w:rFonts w:ascii="微软雅黑" w:eastAsia="微软雅黑" w:hAnsi="微软雅黑" w:cs="宋体" w:hint="eastAsia"/>
            <w:color w:val="5893C2"/>
            <w:kern w:val="0"/>
            <w:szCs w:val="21"/>
            <w:u w:val="single"/>
          </w:rPr>
          <w:t>GeorgeWan</w:t>
        </w:r>
      </w:hyperlink>
      <w:r w:rsidRPr="00797BC1">
        <w:rPr>
          <w:rFonts w:ascii="微软雅黑" w:eastAsia="微软雅黑" w:hAnsi="微软雅黑" w:cs="宋体" w:hint="eastAsia"/>
          <w:color w:val="999AAA"/>
          <w:kern w:val="0"/>
          <w:szCs w:val="21"/>
        </w:rPr>
        <w:t> 2014-08-18 14:49:23 </w:t>
      </w:r>
      <w:r w:rsidRPr="00797BC1">
        <w:rPr>
          <w:rFonts w:ascii="微软雅黑" w:eastAsia="微软雅黑" w:hAnsi="微软雅黑" w:cs="宋体"/>
          <w:noProof/>
          <w:color w:val="999AAA"/>
          <w:kern w:val="0"/>
          <w:szCs w:val="21"/>
        </w:rPr>
        <w:drawing>
          <wp:inline distT="0" distB="0" distL="0" distR="0" wp14:anchorId="779D6B2E" wp14:editId="11E9B469">
            <wp:extent cx="457200" cy="457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BC1">
        <w:rPr>
          <w:rFonts w:ascii="微软雅黑" w:eastAsia="微软雅黑" w:hAnsi="微软雅黑" w:cs="宋体" w:hint="eastAsia"/>
          <w:color w:val="999AAA"/>
          <w:kern w:val="0"/>
          <w:szCs w:val="21"/>
        </w:rPr>
        <w:t> 29025 </w:t>
      </w:r>
      <w:r w:rsidRPr="00797BC1">
        <w:rPr>
          <w:rFonts w:ascii="微软雅黑" w:eastAsia="微软雅黑" w:hAnsi="微软雅黑" w:cs="宋体"/>
          <w:noProof/>
          <w:color w:val="999AAA"/>
          <w:kern w:val="0"/>
          <w:szCs w:val="21"/>
        </w:rPr>
        <w:drawing>
          <wp:inline distT="0" distB="0" distL="0" distR="0" wp14:anchorId="6D25BF91" wp14:editId="3BF846EC">
            <wp:extent cx="45720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BC1">
        <w:rPr>
          <w:rFonts w:ascii="微软雅黑" w:eastAsia="微软雅黑" w:hAnsi="微软雅黑" w:cs="宋体" w:hint="eastAsia"/>
          <w:color w:val="999AAA"/>
          <w:kern w:val="0"/>
          <w:szCs w:val="21"/>
        </w:rPr>
        <w:t> 收藏 64</w:t>
      </w:r>
    </w:p>
    <w:p w14:paraId="6CCC1B40" w14:textId="77777777" w:rsidR="00797BC1" w:rsidRPr="00797BC1" w:rsidRDefault="00797BC1" w:rsidP="00797BC1">
      <w:pPr>
        <w:widowControl/>
        <w:shd w:val="clear" w:color="auto" w:fill="F7F7FC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97BC1">
        <w:rPr>
          <w:rFonts w:ascii="微软雅黑" w:eastAsia="微软雅黑" w:hAnsi="微软雅黑" w:cs="宋体" w:hint="eastAsia"/>
          <w:color w:val="999AAA"/>
          <w:kern w:val="0"/>
          <w:sz w:val="20"/>
          <w:szCs w:val="20"/>
        </w:rPr>
        <w:t>分类专栏：</w:t>
      </w:r>
      <w:r w:rsidRPr="00797BC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hyperlink r:id="rId8" w:tgtFrame="_blank" w:history="1">
        <w:r w:rsidRPr="00797BC1">
          <w:rPr>
            <w:rFonts w:ascii="微软雅黑" w:eastAsia="微软雅黑" w:hAnsi="微软雅黑" w:cs="宋体" w:hint="eastAsia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单片机</w:t>
        </w:r>
      </w:hyperlink>
      <w:r w:rsidRPr="00797BC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hyperlink r:id="rId9" w:tgtFrame="_blank" w:history="1">
        <w:r w:rsidRPr="00797BC1">
          <w:rPr>
            <w:rFonts w:ascii="微软雅黑" w:eastAsia="微软雅黑" w:hAnsi="微软雅黑" w:cs="宋体" w:hint="eastAsia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嵌入式系统</w:t>
        </w:r>
      </w:hyperlink>
      <w:r w:rsidRPr="00797BC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hyperlink r:id="rId10" w:tgtFrame="_blank" w:history="1">
        <w:r w:rsidRPr="00797BC1">
          <w:rPr>
            <w:rFonts w:ascii="微软雅黑" w:eastAsia="微软雅黑" w:hAnsi="微软雅黑" w:cs="宋体" w:hint="eastAsia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MCU</w:t>
        </w:r>
      </w:hyperlink>
      <w:r w:rsidRPr="00797BC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97BC1">
        <w:rPr>
          <w:rFonts w:ascii="微软雅黑" w:eastAsia="微软雅黑" w:hAnsi="微软雅黑" w:cs="宋体" w:hint="eastAsia"/>
          <w:color w:val="999AAA"/>
          <w:kern w:val="0"/>
          <w:sz w:val="20"/>
          <w:szCs w:val="20"/>
        </w:rPr>
        <w:t>文章标签：</w:t>
      </w:r>
      <w:r w:rsidRPr="00797BC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hyperlink r:id="rId11" w:tgtFrame="_blank" w:history="1">
        <w:r w:rsidRPr="00797BC1">
          <w:rPr>
            <w:rFonts w:ascii="微软雅黑" w:eastAsia="微软雅黑" w:hAnsi="微软雅黑" w:cs="宋体" w:hint="eastAsia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I2C</w:t>
        </w:r>
      </w:hyperlink>
      <w:hyperlink r:id="rId12" w:tgtFrame="_blank" w:history="1">
        <w:r w:rsidRPr="00797BC1">
          <w:rPr>
            <w:rFonts w:ascii="微软雅黑" w:eastAsia="微软雅黑" w:hAnsi="微软雅黑" w:cs="宋体" w:hint="eastAsia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单片机</w:t>
        </w:r>
      </w:hyperlink>
      <w:hyperlink r:id="rId13" w:tgtFrame="_blank" w:history="1">
        <w:r w:rsidRPr="00797BC1">
          <w:rPr>
            <w:rFonts w:ascii="微软雅黑" w:eastAsia="微软雅黑" w:hAnsi="微软雅黑" w:cs="宋体" w:hint="eastAsia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嵌入式系统</w:t>
        </w:r>
      </w:hyperlink>
    </w:p>
    <w:p w14:paraId="6D3E49AD" w14:textId="77777777" w:rsidR="00797BC1" w:rsidRPr="00797BC1" w:rsidRDefault="00797BC1" w:rsidP="00797BC1">
      <w:pPr>
        <w:widowControl/>
        <w:spacing w:line="390" w:lineRule="atLeast"/>
        <w:jc w:val="left"/>
        <w:rPr>
          <w:rFonts w:ascii="宋体" w:eastAsia="宋体" w:hAnsi="宋体" w:cs="Arial" w:hint="eastAsia"/>
          <w:color w:val="666666"/>
          <w:kern w:val="0"/>
          <w:sz w:val="24"/>
          <w:szCs w:val="24"/>
        </w:rPr>
      </w:pPr>
      <w:r w:rsidRPr="00797BC1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1.1 I2C总线知识</w:t>
      </w:r>
    </w:p>
    <w:p w14:paraId="099D738D" w14:textId="3F2538B1" w:rsidR="00797BC1" w:rsidRPr="00797BC1" w:rsidRDefault="00797BC1" w:rsidP="00797BC1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666666"/>
          <w:kern w:val="0"/>
          <w:sz w:val="24"/>
          <w:szCs w:val="24"/>
        </w:rPr>
      </w:pP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1.1.1  I2C总线物理拓扑结构</w:t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</w:r>
      <w:r w:rsidRPr="00797BC1">
        <w:rPr>
          <w:rFonts w:ascii="宋体" w:eastAsia="宋体" w:hAnsi="宋体" w:cs="Arial"/>
          <w:noProof/>
          <w:color w:val="666666"/>
          <w:kern w:val="0"/>
          <w:sz w:val="24"/>
          <w:szCs w:val="24"/>
        </w:rPr>
        <w:drawing>
          <wp:inline distT="0" distB="0" distL="0" distR="0" wp14:anchorId="5C330141" wp14:editId="08DA70C7">
            <wp:extent cx="5274310" cy="31381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 </w:t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  <w:t>    I2C 总线在物理连接上非常简单，分别由SDA(串行数据线)和SCL(串行时钟线)及上拉电阻组成。通信原理是通过对SCL和SDA线高低电平时序的控制，来 产生I2C总线协议所需要的信号进行数据的传递。在总线空闲状态时，这两根线一般被上面所接的上拉电阻拉高，保持着高电平。</w:t>
      </w:r>
    </w:p>
    <w:p w14:paraId="7866ABE1" w14:textId="77777777" w:rsidR="00797BC1" w:rsidRPr="00797BC1" w:rsidRDefault="00797BC1" w:rsidP="00797BC1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666666"/>
          <w:kern w:val="0"/>
          <w:sz w:val="24"/>
          <w:szCs w:val="24"/>
        </w:rPr>
      </w:pP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1.1.2  I2C总线特征</w:t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  <w:t xml:space="preserve">    I2C总线上的每一个设备都可以作为主设备或者从设备，而且每一个设备都会对应一个唯一的地址(可以从I2C器件的数据手册得知)，主从设备之间就通过这 </w:t>
      </w:r>
      <w:proofErr w:type="gramStart"/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个</w:t>
      </w:r>
      <w:proofErr w:type="gramEnd"/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地址来确定与哪个器件进行通信，在通常的应用中，我们把CPU带I2C总线接口的模块作为主设备，把挂接在总线上的其他设备都作为从设备。</w:t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lastRenderedPageBreak/>
        <w:t>    I2C总线上可挂接的设备数量受总线的最大电容400pF 限制，如果所挂接的是相同型号的器件，则还受器件</w:t>
      </w:r>
      <w:proofErr w:type="gramStart"/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地址位</w:t>
      </w:r>
      <w:proofErr w:type="gramEnd"/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的限制。</w:t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  <w:t>    I2C总线数据传输速率在标准模式下可达100kbit/s，快速模式下可达400kbit/s，高速模式下可达3.4Mbit/s。一般通过I2C总线接口可编程时钟来实现传输速率的调整，同时也跟所接的上拉电阻的阻值有关。</w:t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  <w:t>    I2C总线上的主设备与从设备之间以字节(8位)为单位进行双向的数据传输。</w:t>
      </w:r>
    </w:p>
    <w:p w14:paraId="15DCD7C5" w14:textId="5C1EFC28" w:rsidR="00797BC1" w:rsidRPr="00797BC1" w:rsidRDefault="00797BC1" w:rsidP="00797BC1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666666"/>
          <w:kern w:val="0"/>
          <w:sz w:val="24"/>
          <w:szCs w:val="24"/>
        </w:rPr>
      </w:pP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1.1.3  I2C总线协议</w:t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  <w:t>    I2C协议规定，总线上数据的传输必须以一个起始信号作为开始条件，以一个结束信号作为传输的停止条件。起始和结束信号总是由主设备产生。总线在空闲状态 时，SCL和SDA都保持着高电平，当SCL为高电平而SDA由高到低的跳变，表示产生一个起始条件；当SCL为高而SDA由低到高的跳变，表示产生一个 停止条件。在起始条件产生后，总线处于忙状态，由本次数据传输的主从设备独占，其他I2C器件无法访问总线；而在停止条件产生后，本次数据传输的主从设备 将释放总线，总线再次处于空闲状态。如图所示：</w:t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</w:r>
      <w:r w:rsidRPr="00797BC1">
        <w:rPr>
          <w:rFonts w:ascii="宋体" w:eastAsia="宋体" w:hAnsi="宋体" w:cs="Arial"/>
          <w:noProof/>
          <w:color w:val="666666"/>
          <w:kern w:val="0"/>
          <w:sz w:val="24"/>
          <w:szCs w:val="24"/>
        </w:rPr>
        <w:drawing>
          <wp:inline distT="0" distB="0" distL="0" distR="0" wp14:anchorId="2BC403E4" wp14:editId="1EDE95A1">
            <wp:extent cx="5274310" cy="1694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4BF3" w14:textId="53BDE26C" w:rsidR="00797BC1" w:rsidRPr="00797BC1" w:rsidRDefault="00797BC1" w:rsidP="00797BC1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666666"/>
          <w:kern w:val="0"/>
          <w:sz w:val="24"/>
          <w:szCs w:val="24"/>
        </w:rPr>
      </w:pP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    在了解起始条件和停止条件后，我们再来看看在这个过程中数据的传输是如何进行的。前面我们已经提到过，数据传输以字节为单位。主设备在SCL线上产生每个 时钟脉冲的过程中将在SDA线上传输一个数据位，当一个字节按数据位从高位到低位的顺序传输完后，紧接着从设备将拉低SDA线，回传给主设备一个应答位， 此时才认为一个字节真正的被传输完成。当然，并不是所有的字节传输都必须有一个应答位，比如：当从设备不能再接收主设备发送的数据时，从设备将回传一个否 定应答位。数据传输的过程如图所示：</w:t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</w:r>
      <w:r w:rsidRPr="00797BC1">
        <w:rPr>
          <w:rFonts w:ascii="宋体" w:eastAsia="宋体" w:hAnsi="宋体" w:cs="Arial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 wp14:anchorId="19D5FD2D" wp14:editId="0BB9033D">
            <wp:extent cx="5274310" cy="1550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 </w:t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  <w:t>    在前面我们还提到过，I2C总线上的每一个设备都对应一个唯一的地址，主从设备之间的数据传输是建立在地址的基础上，也就是说，主设备在传输有效数据之前 要先指定从设备的地址，地址指定的过程和上面数据传输的过程一样，只不过大多数从设备的地址是7位的，然后协议规定再给地址添加一个最低位用来表示接下来 数据传输的方向，0表示主设备向从设备写数据，1表示主设备向从设备读数据。如图所示：</w:t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</w:r>
      <w:r w:rsidRPr="00797BC1">
        <w:rPr>
          <w:rFonts w:ascii="宋体" w:eastAsia="宋体" w:hAnsi="宋体" w:cs="Arial"/>
          <w:noProof/>
          <w:color w:val="666666"/>
          <w:kern w:val="0"/>
          <w:sz w:val="24"/>
          <w:szCs w:val="24"/>
        </w:rPr>
        <w:drawing>
          <wp:inline distT="0" distB="0" distL="0" distR="0" wp14:anchorId="415E556E" wp14:editId="2C200FD4">
            <wp:extent cx="5274310" cy="1563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 </w:t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  <w:t>1.1.4  I2C总线操作</w:t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  <w:t>    对I2C总线的操作实际就是主从设备之间的读写操作。大致可分为以下三种操作情况：</w:t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  <w:t>    第一，主设备往从设备中写数据。数据传输格式如下：</w:t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  <w:t>   </w:t>
      </w:r>
      <w:r w:rsidRPr="00797BC1">
        <w:rPr>
          <w:rFonts w:ascii="宋体" w:eastAsia="宋体" w:hAnsi="宋体" w:cs="Arial"/>
          <w:noProof/>
          <w:color w:val="666666"/>
          <w:kern w:val="0"/>
          <w:sz w:val="24"/>
          <w:szCs w:val="24"/>
        </w:rPr>
        <w:drawing>
          <wp:inline distT="0" distB="0" distL="0" distR="0" wp14:anchorId="5B002BA2" wp14:editId="61F39BEF">
            <wp:extent cx="4781550" cy="1343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 </w:t>
      </w:r>
    </w:p>
    <w:p w14:paraId="5AC489A2" w14:textId="4B2086BF" w:rsidR="00797BC1" w:rsidRPr="00797BC1" w:rsidRDefault="00797BC1" w:rsidP="00797BC1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666666"/>
          <w:kern w:val="0"/>
          <w:sz w:val="24"/>
          <w:szCs w:val="24"/>
        </w:rPr>
      </w:pP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  <w:t>    第二，主设备从</w:t>
      </w:r>
      <w:proofErr w:type="gramStart"/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从</w:t>
      </w:r>
      <w:proofErr w:type="gramEnd"/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设备中读数据。数据传输格式如下：</w:t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lastRenderedPageBreak/>
        <w:t>    </w:t>
      </w:r>
      <w:r w:rsidRPr="00797BC1">
        <w:rPr>
          <w:rFonts w:ascii="宋体" w:eastAsia="宋体" w:hAnsi="宋体" w:cs="Arial"/>
          <w:noProof/>
          <w:color w:val="666666"/>
          <w:kern w:val="0"/>
          <w:sz w:val="24"/>
          <w:szCs w:val="24"/>
        </w:rPr>
        <w:drawing>
          <wp:inline distT="0" distB="0" distL="0" distR="0" wp14:anchorId="3096DB6A" wp14:editId="1993834B">
            <wp:extent cx="4733925" cy="1076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FC52" w14:textId="4FD8F52D" w:rsidR="00797BC1" w:rsidRPr="00797BC1" w:rsidRDefault="00797BC1" w:rsidP="00797BC1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666666"/>
          <w:kern w:val="0"/>
          <w:sz w:val="24"/>
          <w:szCs w:val="24"/>
        </w:rPr>
      </w:pP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    第三，主设备往从设备中写数据，然后重启起始条件，紧接着从</w:t>
      </w:r>
      <w:proofErr w:type="gramStart"/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从</w:t>
      </w:r>
      <w:proofErr w:type="gramEnd"/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设备中读取数据；或者是主设备从</w:t>
      </w:r>
      <w:proofErr w:type="gramStart"/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从</w:t>
      </w:r>
      <w:proofErr w:type="gramEnd"/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设备中读数据，然后重启起始条件，紧接着主设备往从设备中写数据。数据传输格式如下：</w:t>
      </w: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br/>
      </w:r>
      <w:r w:rsidRPr="00797BC1">
        <w:rPr>
          <w:rFonts w:ascii="宋体" w:eastAsia="宋体" w:hAnsi="宋体" w:cs="Arial"/>
          <w:noProof/>
          <w:color w:val="666666"/>
          <w:kern w:val="0"/>
          <w:sz w:val="24"/>
          <w:szCs w:val="24"/>
        </w:rPr>
        <w:drawing>
          <wp:inline distT="0" distB="0" distL="0" distR="0" wp14:anchorId="266C4B20" wp14:editId="0E2F839E">
            <wp:extent cx="5274310" cy="1092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A1EB" w14:textId="77777777" w:rsidR="00797BC1" w:rsidRPr="00797BC1" w:rsidRDefault="00797BC1" w:rsidP="00797BC1">
      <w:pPr>
        <w:widowControl/>
        <w:spacing w:after="240" w:line="390" w:lineRule="atLeast"/>
        <w:jc w:val="left"/>
        <w:rPr>
          <w:rFonts w:ascii="宋体" w:eastAsia="宋体" w:hAnsi="宋体" w:cs="Arial" w:hint="eastAsia"/>
          <w:color w:val="666666"/>
          <w:kern w:val="0"/>
          <w:sz w:val="24"/>
          <w:szCs w:val="24"/>
        </w:rPr>
      </w:pPr>
      <w:r w:rsidRPr="00797BC1">
        <w:rPr>
          <w:rFonts w:ascii="宋体" w:eastAsia="宋体" w:hAnsi="宋体" w:cs="Arial" w:hint="eastAsia"/>
          <w:color w:val="666666"/>
          <w:kern w:val="0"/>
          <w:sz w:val="24"/>
          <w:szCs w:val="24"/>
        </w:rPr>
        <w:t>    第三种操作在单个主设备系统中，重复的开启起始条件机制要比用STOP终止传输后又再次开启总线更有效率。</w:t>
      </w:r>
    </w:p>
    <w:p w14:paraId="1DE96465" w14:textId="77777777" w:rsidR="00A22E18" w:rsidRPr="00797BC1" w:rsidRDefault="00A22E18"/>
    <w:sectPr w:rsidR="00A22E18" w:rsidRPr="00797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C6"/>
    <w:rsid w:val="00797BC1"/>
    <w:rsid w:val="00A22E18"/>
    <w:rsid w:val="00BC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16E9E-EF4B-4269-85AD-B6F012E9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7B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7BC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97BC1"/>
    <w:rPr>
      <w:color w:val="0000FF"/>
      <w:u w:val="single"/>
    </w:rPr>
  </w:style>
  <w:style w:type="character" w:customStyle="1" w:styleId="time">
    <w:name w:val="time"/>
    <w:basedOn w:val="a0"/>
    <w:rsid w:val="00797BC1"/>
  </w:style>
  <w:style w:type="character" w:customStyle="1" w:styleId="read-count">
    <w:name w:val="read-count"/>
    <w:basedOn w:val="a0"/>
    <w:rsid w:val="00797BC1"/>
  </w:style>
  <w:style w:type="character" w:customStyle="1" w:styleId="name">
    <w:name w:val="name"/>
    <w:basedOn w:val="a0"/>
    <w:rsid w:val="00797BC1"/>
  </w:style>
  <w:style w:type="character" w:customStyle="1" w:styleId="get-collection">
    <w:name w:val="get-collection"/>
    <w:basedOn w:val="a0"/>
    <w:rsid w:val="00797BC1"/>
  </w:style>
  <w:style w:type="character" w:customStyle="1" w:styleId="label">
    <w:name w:val="label"/>
    <w:basedOn w:val="a0"/>
    <w:rsid w:val="00797BC1"/>
  </w:style>
  <w:style w:type="paragraph" w:styleId="a4">
    <w:name w:val="Normal (Web)"/>
    <w:basedOn w:val="a"/>
    <w:uiPriority w:val="99"/>
    <w:semiHidden/>
    <w:unhideWhenUsed/>
    <w:rsid w:val="00797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2145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86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4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2943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9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89436838/category_2494151.html" TargetMode="External"/><Relationship Id="rId13" Type="http://schemas.openxmlformats.org/officeDocument/2006/relationships/hyperlink" Target="https://www.csdn.net/gather_24/MtTaEg1sMzkzODQtYmxvZwO0O0OO0O0O.html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csdn.net/gather_27/MtTagg2sMzc0Ni1ibG9n.html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o.csdn.net/so/search/s.do?q=I2C&amp;t=blog&amp;o=vip&amp;s=&amp;l=&amp;f=&amp;viparticle=" TargetMode="External"/><Relationship Id="rId5" Type="http://schemas.openxmlformats.org/officeDocument/2006/relationships/hyperlink" Target="https://me.csdn.net/w89436838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blog.csdn.net/w89436838/category_2494167.html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hyperlink" Target="https://blog.csdn.net/w89436838/category_2494147.htm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2020-08-24T15:49:00Z</dcterms:created>
  <dcterms:modified xsi:type="dcterms:W3CDTF">2020-08-24T15:50:00Z</dcterms:modified>
</cp:coreProperties>
</file>