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2937"/>
          <w:sz w:val="30"/>
          <w:szCs w:val="30"/>
        </w:rPr>
        <w:t xml:space="preserve">INVESTOR RISK REPORT</w:t>
      </w:r>
    </w:p>
    <w:p>
      <w:pPr>
        <w:spacing w:after="140"/>
      </w:pPr>
      <w:r>
        <w:rPr>
          <w:rFonts w:ascii="Calibri" w:cs="Calibri" w:eastAsia="Calibri" w:hAnsi="Calibri"/>
          <w:b/>
          <w:bCs/>
          <w:color w:val="1A1A1A"/>
          <w:sz w:val="22"/>
          <w:szCs w:val="22"/>
        </w:rPr>
        <w:t xml:space="preserve">The Black Bull (ANSEM)</w:t>
      </w:r>
      <w:r>
        <w:rPr>
          <w:rFonts w:ascii="Calibri" w:cs="Calibri" w:eastAsia="Calibri" w:hAnsi="Calibri"/>
          <w:color w:val="555555"/>
          <w:sz w:val="18"/>
          <w:szCs w:val="18"/>
        </w:rPr>
        <w:t xml:space="preserve">    Solana, Token-2022    Snapshot: September 21 to 22, 2026</w:t>
      </w:r>
    </w:p>
    <w:p>
      <w:pPr>
        <w:spacing w:after="100"/>
      </w:pPr>
      <w:r>
        <w:rPr>
          <w:rFonts w:ascii="Calibri" w:cs="Calibri" w:eastAsia="Calibri" w:hAnsi="Calibri"/>
          <w:i/>
          <w:iCs/>
          <w:color w:val="555555"/>
          <w:sz w:val="17"/>
          <w:szCs w:val="17"/>
        </w:rPr>
        <w:t xml:space="preserve">Prepared by Matthew Raphael Nnamani (@0x_note), on-chain analyst. Research and verification conducted using Dune Analytics and Solscan.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CCCCCC" w:sz="2"/>
              <w:left w:val="single" w:color="CCCCCC" w:sz="2"/>
              <w:bottom w:val="single" w:color="CCCCCC" w:sz="2"/>
              <w:right w:val="single" w:color="CCCCCC" w:sz="2"/>
            </w:tcBorders>
            <w:shd w:fill="F2F2F2" w:val="clear"/>
            <w:tcMar>
              <w:top w:type="dxa" w:w="140"/>
              <w:left w:type="dxa" w:w="160"/>
              <w:bottom w:type="dxa" w:w="140"/>
              <w:right w:type="dxa" w:w="160"/>
            </w:tcMar>
          </w:tcPr>
          <w:p>
            <w:r>
              <w:rPr>
                <w:rFonts w:ascii="Calibri" w:cs="Calibri" w:eastAsia="Calibri" w:hAnsi="Calibri"/>
                <w:b/>
                <w:bCs/>
                <w:sz w:val="20"/>
                <w:szCs w:val="20"/>
              </w:rPr>
              <w:t xml:space="preserve">Verdict: </w:t>
            </w:r>
            <w:r>
              <w:rPr>
                <w:rFonts w:ascii="Calibri" w:cs="Calibri" w:eastAsia="Calibri" w:hAnsi="Calibri"/>
                <w:sz w:val="20"/>
                <w:szCs w:val="20"/>
              </w:rPr>
              <w:t xml:space="preserve">ANSEM is mechanically clean on the surface, with no transfer tax and no active mint or freeze authority, but structurally fragile underneath it. Sixty five percent of total supply was sent to a single wallet at launch and is confirmed, transaction by transaction, to remain under that same party's control today, and the main trading pool cannot absorb even a one percent sale from the largest holder without a severe price collapse.</w:t>
            </w:r>
          </w:p>
        </w:tc>
      </w:tr>
    </w:tbl>
    <w:p>
      <w:pPr>
        <w:spacing w:after="30" w:before="100"/>
      </w:pPr>
      <w:r>
        <w:rPr>
          <w:rFonts w:ascii="Calibri" w:cs="Calibri" w:eastAsia="Calibri" w:hAnsi="Calibri"/>
          <w:b/>
          <w:bCs/>
          <w:color w:val="1F2937"/>
          <w:sz w:val="22"/>
          <w:szCs w:val="22"/>
        </w:rPr>
        <w:t xml:space="preserve">Risk Scorecard</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440"/>
      </w:tblGrid>
      <w:tr>
        <w:trPr>
          <w:tblHeader/>
        </w:trPr>
        <w:tc>
          <w:tcPr>
            <w:tcW w:type="dxa" w:w="1600"/>
            <w:tcBorders>
              <w:top w:val="single" w:color="CCCCCC" w:sz="2"/>
              <w:left w:val="single" w:color="CCCCCC" w:sz="2"/>
              <w:bottom w:val="single" w:color="CCCCCC" w:sz="2"/>
              <w:right w:val="single" w:color="CCCCCC" w:sz="2"/>
            </w:tcBorders>
            <w:shd w:fill="2B2B2B" w:val="clear"/>
            <w:tcMar>
              <w:top w:type="dxa" w:w="60"/>
              <w:left w:type="dxa" w:w="90"/>
              <w:bottom w:type="dxa" w:w="60"/>
              <w:right w:type="dxa" w:w="90"/>
            </w:tcMar>
          </w:tcPr>
          <w:p>
            <w:r>
              <w:rPr>
                <w:rFonts w:ascii="Calibri" w:cs="Calibri" w:eastAsia="Calibri" w:hAnsi="Calibri"/>
                <w:b/>
                <w:bCs/>
                <w:color w:val="FFFFFF"/>
                <w:sz w:val="17"/>
                <w:szCs w:val="17"/>
              </w:rPr>
              <w:t xml:space="preserve">Factor</w:t>
            </w:r>
          </w:p>
        </w:tc>
        <w:tc>
          <w:tcPr>
            <w:tcW w:type="dxa" w:w="1000"/>
            <w:tcBorders>
              <w:top w:val="single" w:color="CCCCCC" w:sz="2"/>
              <w:left w:val="single" w:color="CCCCCC" w:sz="2"/>
              <w:bottom w:val="single" w:color="CCCCCC" w:sz="2"/>
              <w:right w:val="single" w:color="CCCCCC" w:sz="2"/>
            </w:tcBorders>
            <w:shd w:fill="2B2B2B" w:val="clear"/>
            <w:tcMar>
              <w:top w:type="dxa" w:w="60"/>
              <w:left w:type="dxa" w:w="90"/>
              <w:bottom w:type="dxa" w:w="60"/>
              <w:right w:type="dxa" w:w="90"/>
            </w:tcMar>
          </w:tcPr>
          <w:p>
            <w:r>
              <w:rPr>
                <w:rFonts w:ascii="Calibri" w:cs="Calibri" w:eastAsia="Calibri" w:hAnsi="Calibri"/>
                <w:b/>
                <w:bCs/>
                <w:color w:val="FFFFFF"/>
                <w:sz w:val="17"/>
                <w:szCs w:val="17"/>
              </w:rPr>
              <w:t xml:space="preserve">Rating</w:t>
            </w:r>
          </w:p>
        </w:tc>
        <w:tc>
          <w:tcPr>
            <w:tcW w:type="dxa" w:w="6440"/>
            <w:tcBorders>
              <w:top w:val="single" w:color="CCCCCC" w:sz="2"/>
              <w:left w:val="single" w:color="CCCCCC" w:sz="2"/>
              <w:bottom w:val="single" w:color="CCCCCC" w:sz="2"/>
              <w:right w:val="single" w:color="CCCCCC" w:sz="2"/>
            </w:tcBorders>
            <w:shd w:fill="2B2B2B" w:val="clear"/>
            <w:tcMar>
              <w:top w:type="dxa" w:w="60"/>
              <w:left w:type="dxa" w:w="90"/>
              <w:bottom w:type="dxa" w:w="60"/>
              <w:right w:type="dxa" w:w="90"/>
            </w:tcMar>
          </w:tcPr>
          <w:p>
            <w:r>
              <w:rPr>
                <w:rFonts w:ascii="Calibri" w:cs="Calibri" w:eastAsia="Calibri" w:hAnsi="Calibri"/>
                <w:b/>
                <w:bCs/>
                <w:color w:val="FFFFFF"/>
                <w:sz w:val="17"/>
                <w:szCs w:val="17"/>
              </w:rPr>
              <w:t xml:space="preserve">Basis</w:t>
            </w:r>
          </w:p>
        </w:tc>
      </w:tr>
      <w:tr>
        <w:tc>
          <w:tcPr>
            <w:tcW w:type="dxa" w:w="16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sz w:val="17"/>
                <w:szCs w:val="17"/>
              </w:rPr>
              <w:t xml:space="preserve">Concentration</w:t>
            </w:r>
          </w:p>
        </w:tc>
        <w:tc>
          <w:tcPr>
            <w:tcW w:type="dxa" w:w="10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color w:val="B3261E"/>
                <w:sz w:val="17"/>
                <w:szCs w:val="17"/>
              </w:rPr>
              <w:t xml:space="preserve">High</w:t>
            </w:r>
          </w:p>
        </w:tc>
        <w:tc>
          <w:tcPr>
            <w:tcW w:type="dxa" w:w="644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sz w:val="17"/>
                <w:szCs w:val="17"/>
              </w:rPr>
              <w:t xml:space="preserve">The largest wallet holds 49.08% of supply and the top ten wallets combined hold about 66.9%. No lock or vesting mechanism was identified for any of it.</w:t>
            </w:r>
          </w:p>
        </w:tc>
      </w:tr>
      <w:tr>
        <w:tc>
          <w:tcPr>
            <w:tcW w:type="dxa" w:w="16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sz w:val="17"/>
                <w:szCs w:val="17"/>
              </w:rPr>
              <w:t xml:space="preserve">Liquidity depth</w:t>
            </w:r>
          </w:p>
        </w:tc>
        <w:tc>
          <w:tcPr>
            <w:tcW w:type="dxa" w:w="10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color w:val="B3261E"/>
                <w:sz w:val="17"/>
                <w:szCs w:val="17"/>
              </w:rPr>
              <w:t xml:space="preserve">High</w:t>
            </w:r>
          </w:p>
        </w:tc>
        <w:tc>
          <w:tcPr>
            <w:tcW w:type="dxa" w:w="644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sz w:val="17"/>
                <w:szCs w:val="17"/>
              </w:rPr>
              <w:t xml:space="preserve">The two largest pools hold about $3.9M combined against a largest holder worth roughly $84M at the same snapshot. A 1% sale of that wallet models a roughly 51% price drop routed across both.</w:t>
            </w:r>
          </w:p>
        </w:tc>
      </w:tr>
      <w:tr>
        <w:tc>
          <w:tcPr>
            <w:tcW w:type="dxa" w:w="16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sz w:val="17"/>
                <w:szCs w:val="17"/>
              </w:rPr>
              <w:t xml:space="preserve">Mechanism</w:t>
            </w:r>
          </w:p>
        </w:tc>
        <w:tc>
          <w:tcPr>
            <w:tcW w:type="dxa" w:w="10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color w:val="1E7A34"/>
                <w:sz w:val="17"/>
                <w:szCs w:val="17"/>
              </w:rPr>
              <w:t xml:space="preserve">Low</w:t>
            </w:r>
          </w:p>
        </w:tc>
        <w:tc>
          <w:tcPr>
            <w:tcW w:type="dxa" w:w="644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sz w:val="17"/>
                <w:szCs w:val="17"/>
              </w:rPr>
              <w:t xml:space="preserve">The mint has no active mint authority, no freeze authority, and no transfer fee, permanent delegate, or transfer hook extension. Confirmed directly on the mint's on-chain extensions data.</w:t>
            </w:r>
          </w:p>
        </w:tc>
      </w:tr>
      <w:tr>
        <w:tc>
          <w:tcPr>
            <w:tcW w:type="dxa" w:w="16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sz w:val="17"/>
                <w:szCs w:val="17"/>
              </w:rPr>
              <w:t xml:space="preserve">Attribution confidence</w:t>
            </w:r>
          </w:p>
        </w:tc>
        <w:tc>
          <w:tcPr>
            <w:tcW w:type="dxa" w:w="10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color w:val="9C6B00"/>
                <w:sz w:val="17"/>
                <w:szCs w:val="17"/>
              </w:rPr>
              <w:t xml:space="preserve">Medium</w:t>
            </w:r>
          </w:p>
        </w:tc>
        <w:tc>
          <w:tcPr>
            <w:tcW w:type="dxa" w:w="644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sz w:val="17"/>
                <w:szCs w:val="17"/>
              </w:rPr>
              <w:t xml:space="preserve">The flow of funds from the deployer through the largest wallets is confirmed at the transaction level. The identity link to Ansem himself rests on public platform tags and a cited third party post, not a signed claim from his own account.</w:t>
            </w:r>
          </w:p>
        </w:tc>
      </w:tr>
    </w:tbl>
    <w:p>
      <w:pPr>
        <w:spacing w:after="30" w:before="100"/>
      </w:pPr>
      <w:r>
        <w:rPr>
          <w:rFonts w:ascii="Calibri" w:cs="Calibri" w:eastAsia="Calibri" w:hAnsi="Calibri"/>
          <w:b/>
          <w:bCs/>
          <w:color w:val="1F2937"/>
          <w:sz w:val="22"/>
          <w:szCs w:val="22"/>
        </w:rPr>
        <w:t xml:space="preserve">Key Metrics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200"/>
        <w:gridCol w:w="6240"/>
      </w:tblGrid>
      <w:tr>
        <w:trPr>
          <w:tblHeader/>
        </w:trPr>
        <w:tc>
          <w:tcPr>
            <w:tcW w:type="dxa" w:w="3200"/>
            <w:tcBorders>
              <w:top w:val="single" w:color="CCCCCC" w:sz="2"/>
              <w:left w:val="single" w:color="CCCCCC" w:sz="2"/>
              <w:bottom w:val="single" w:color="CCCCCC" w:sz="2"/>
              <w:right w:val="single" w:color="CCCCCC" w:sz="2"/>
            </w:tcBorders>
            <w:shd w:fill="2B2B2B" w:val="clear"/>
            <w:tcMar>
              <w:top w:type="dxa" w:w="60"/>
              <w:left w:type="dxa" w:w="90"/>
              <w:bottom w:type="dxa" w:w="60"/>
              <w:right w:type="dxa" w:w="90"/>
            </w:tcMar>
          </w:tcPr>
          <w:p>
            <w:r>
              <w:rPr>
                <w:rFonts w:ascii="Calibri" w:cs="Calibri" w:eastAsia="Calibri" w:hAnsi="Calibri"/>
                <w:b/>
                <w:bCs/>
                <w:color w:val="FFFFFF"/>
                <w:sz w:val="17"/>
                <w:szCs w:val="17"/>
              </w:rPr>
              <w:t xml:space="preserve">Metric</w:t>
            </w:r>
          </w:p>
        </w:tc>
        <w:tc>
          <w:tcPr>
            <w:tcW w:type="dxa" w:w="6240"/>
            <w:tcBorders>
              <w:top w:val="single" w:color="CCCCCC" w:sz="2"/>
              <w:left w:val="single" w:color="CCCCCC" w:sz="2"/>
              <w:bottom w:val="single" w:color="CCCCCC" w:sz="2"/>
              <w:right w:val="single" w:color="CCCCCC" w:sz="2"/>
            </w:tcBorders>
            <w:shd w:fill="2B2B2B" w:val="clear"/>
            <w:tcMar>
              <w:top w:type="dxa" w:w="60"/>
              <w:left w:type="dxa" w:w="90"/>
              <w:bottom w:type="dxa" w:w="60"/>
              <w:right w:type="dxa" w:w="90"/>
            </w:tcMar>
          </w:tcPr>
          <w:p>
            <w:r>
              <w:rPr>
                <w:rFonts w:ascii="Calibri" w:cs="Calibri" w:eastAsia="Calibri" w:hAnsi="Calibri"/>
                <w:b/>
                <w:bCs/>
                <w:color w:val="FFFFFF"/>
                <w:sz w:val="17"/>
                <w:szCs w:val="17"/>
              </w:rPr>
              <w:t xml:space="preserve">Value</w:t>
            </w:r>
          </w:p>
        </w:tc>
      </w:tr>
      <w:tr>
        <w:tc>
          <w:tcPr>
            <w:tcW w:type="dxa" w:w="32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sz w:val="17"/>
                <w:szCs w:val="17"/>
              </w:rPr>
              <w:t xml:space="preserve">Total supply (initial)</w:t>
            </w:r>
          </w:p>
        </w:tc>
        <w:tc>
          <w:tcPr>
            <w:tcW w:type="dxa" w:w="624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sz w:val="17"/>
                <w:szCs w:val="17"/>
              </w:rPr>
              <w:t xml:space="preserve">1,000,000,000 ANSEM</w:t>
            </w:r>
          </w:p>
        </w:tc>
      </w:tr>
      <w:tr>
        <w:tc>
          <w:tcPr>
            <w:tcW w:type="dxa" w:w="32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sz w:val="17"/>
                <w:szCs w:val="17"/>
              </w:rPr>
              <w:t xml:space="preserve">Current supply (snapshot)</w:t>
            </w:r>
          </w:p>
        </w:tc>
        <w:tc>
          <w:tcPr>
            <w:tcW w:type="dxa" w:w="624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sz w:val="17"/>
                <w:szCs w:val="17"/>
              </w:rPr>
              <w:t xml:space="preserve">997,362,342.62 ANSEM</w:t>
            </w:r>
          </w:p>
        </w:tc>
      </w:tr>
      <w:tr>
        <w:tc>
          <w:tcPr>
            <w:tcW w:type="dxa" w:w="32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sz w:val="17"/>
                <w:szCs w:val="17"/>
              </w:rPr>
              <w:t xml:space="preserve">Launch allocation to insider wallet</w:t>
            </w:r>
          </w:p>
        </w:tc>
        <w:tc>
          <w:tcPr>
            <w:tcW w:type="dxa" w:w="624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sz w:val="17"/>
                <w:szCs w:val="17"/>
              </w:rPr>
              <w:t xml:space="preserve">650,000,000 ANSEM (65% of initial supply), sent from the deployer to a single wallet in the launch transaction</w:t>
            </w:r>
          </w:p>
        </w:tc>
      </w:tr>
      <w:tr>
        <w:tc>
          <w:tcPr>
            <w:tcW w:type="dxa" w:w="32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sz w:val="17"/>
                <w:szCs w:val="17"/>
              </w:rPr>
              <w:t xml:space="preserve">Largest current holder</w:t>
            </w:r>
          </w:p>
        </w:tc>
        <w:tc>
          <w:tcPr>
            <w:tcW w:type="dxa" w:w="624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sz w:val="17"/>
                <w:szCs w:val="17"/>
              </w:rPr>
              <w:t xml:space="preserve">7oU9nR9VEvFPwvp2PpXo2LQc6A92QRhcUTwhLWT7MsDM, 491,000,104 ANSEM, 49.08% of supply</w:t>
            </w:r>
          </w:p>
        </w:tc>
      </w:tr>
      <w:tr>
        <w:tc>
          <w:tcPr>
            <w:tcW w:type="dxa" w:w="32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sz w:val="17"/>
                <w:szCs w:val="17"/>
              </w:rPr>
              <w:t xml:space="preserve">Combined top ten wallets</w:t>
            </w:r>
          </w:p>
        </w:tc>
        <w:tc>
          <w:tcPr>
            <w:tcW w:type="dxa" w:w="624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sz w:val="17"/>
                <w:szCs w:val="17"/>
              </w:rPr>
              <w:t xml:space="preserve">Approximately 66.9% of tracked supply</w:t>
            </w:r>
          </w:p>
        </w:tc>
      </w:tr>
      <w:tr>
        <w:tc>
          <w:tcPr>
            <w:tcW w:type="dxa" w:w="32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sz w:val="17"/>
                <w:szCs w:val="17"/>
              </w:rPr>
              <w:t xml:space="preserve">Main pool liquidity</w:t>
            </w:r>
          </w:p>
        </w:tc>
        <w:tc>
          <w:tcPr>
            <w:tcW w:type="dxa" w:w="624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sz w:val="17"/>
                <w:szCs w:val="17"/>
              </w:rPr>
              <w:t xml:space="preserve">Pump.fun AMM pool, $2,637,584 TVL. Combined across all identified pools: approximately $4.3M.</w:t>
            </w:r>
          </w:p>
        </w:tc>
      </w:tr>
      <w:tr>
        <w:tc>
          <w:tcPr>
            <w:tcW w:type="dxa" w:w="32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sz w:val="17"/>
                <w:szCs w:val="17"/>
              </w:rPr>
              <w:t xml:space="preserve">Primary pool liquidity lock</w:t>
            </w:r>
          </w:p>
        </w:tc>
        <w:tc>
          <w:tcPr>
            <w:tcW w:type="dxa" w:w="624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color w:val="1E7A34"/>
                <w:sz w:val="17"/>
                <w:szCs w:val="17"/>
              </w:rPr>
              <w:t xml:space="preserve">99.39% of the Pump.fun AMM pool's liquidity reported as locked, per Solscan's pool page. Not independently traced to the locker contract by the analyst.</w:t>
            </w:r>
          </w:p>
        </w:tc>
      </w:tr>
      <w:tr>
        <w:tc>
          <w:tcPr>
            <w:tcW w:type="dxa" w:w="32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sz w:val="17"/>
                <w:szCs w:val="17"/>
              </w:rPr>
              <w:t xml:space="preserve">Value of largest wallet</w:t>
            </w:r>
          </w:p>
        </w:tc>
        <w:tc>
          <w:tcPr>
            <w:tcW w:type="dxa" w:w="624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sz w:val="17"/>
                <w:szCs w:val="17"/>
              </w:rPr>
              <w:t xml:space="preserve">Approximately $83,990,000 at snapshot price</w:t>
            </w:r>
          </w:p>
        </w:tc>
      </w:tr>
      <w:tr>
        <w:tc>
          <w:tcPr>
            <w:tcW w:type="dxa" w:w="32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sz w:val="17"/>
                <w:szCs w:val="17"/>
              </w:rPr>
              <w:t xml:space="preserve">Lock or vesting status</w:t>
            </w:r>
          </w:p>
        </w:tc>
        <w:tc>
          <w:tcPr>
            <w:tcW w:type="dxa" w:w="624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sz w:val="17"/>
                <w:szCs w:val="17"/>
              </w:rPr>
              <w:t xml:space="preserve">None identified among top holders</w:t>
            </w:r>
          </w:p>
        </w:tc>
      </w:tr>
      <w:tr>
        <w:tc>
          <w:tcPr>
            <w:tcW w:type="dxa" w:w="32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sz w:val="17"/>
                <w:szCs w:val="17"/>
              </w:rPr>
              <w:t xml:space="preserve">Mint authority</w:t>
            </w:r>
          </w:p>
        </w:tc>
        <w:tc>
          <w:tcPr>
            <w:tcW w:type="dxa" w:w="624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color w:val="1E7A34"/>
                <w:sz w:val="17"/>
                <w:szCs w:val="17"/>
              </w:rPr>
              <w:t xml:space="preserve">None. Revoked.</w:t>
            </w:r>
          </w:p>
        </w:tc>
      </w:tr>
      <w:tr>
        <w:tc>
          <w:tcPr>
            <w:tcW w:type="dxa" w:w="32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sz w:val="17"/>
                <w:szCs w:val="17"/>
              </w:rPr>
              <w:t xml:space="preserve">Freeze authority</w:t>
            </w:r>
          </w:p>
        </w:tc>
        <w:tc>
          <w:tcPr>
            <w:tcW w:type="dxa" w:w="624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color w:val="1E7A34"/>
                <w:sz w:val="17"/>
                <w:szCs w:val="17"/>
              </w:rPr>
              <w:t xml:space="preserve">None. Revoked.</w:t>
            </w:r>
          </w:p>
        </w:tc>
      </w:tr>
      <w:tr>
        <w:tc>
          <w:tcPr>
            <w:tcW w:type="dxa" w:w="32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sz w:val="17"/>
                <w:szCs w:val="17"/>
              </w:rPr>
              <w:t xml:space="preserve">Tax on transfers</w:t>
            </w:r>
          </w:p>
        </w:tc>
        <w:tc>
          <w:tcPr>
            <w:tcW w:type="dxa" w:w="624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color w:val="1E7A34"/>
                <w:sz w:val="17"/>
                <w:szCs w:val="17"/>
              </w:rPr>
              <w:t xml:space="preserve">None. No transfer fee extension present on the mint.</w:t>
            </w:r>
          </w:p>
        </w:tc>
      </w:tr>
    </w:tbl>
    <w:p>
      <w:pPr>
        <w:spacing w:after="30" w:before="100"/>
      </w:pPr>
      <w:r>
        <w:rPr>
          <w:rFonts w:ascii="Calibri" w:cs="Calibri" w:eastAsia="Calibri" w:hAnsi="Calibri"/>
          <w:b/>
          <w:bCs/>
          <w:color w:val="1F2937"/>
          <w:sz w:val="22"/>
          <w:szCs w:val="22"/>
        </w:rPr>
        <w:t xml:space="preserve">Green Flags</w:t>
      </w:r>
    </w:p>
    <w:p>
      <w:pPr>
        <w:pStyle w:val="ListParagraph"/>
        <w:numPr>
          <w:ilvl w:val="0"/>
          <w:numId w:val="1"/>
        </w:numPr>
        <w:spacing w:after="35"/>
      </w:pPr>
      <w:r>
        <w:rPr>
          <w:rFonts w:ascii="Calibri" w:cs="Calibri" w:eastAsia="Calibri" w:hAnsi="Calibri"/>
          <w:sz w:val="18"/>
          <w:szCs w:val="18"/>
        </w:rPr>
        <w:t xml:space="preserve">Mint authority and freeze authority are both null. Supply is fixed and no account can be frozen. Confirmed directly on the mint's extensions data.</w:t>
      </w:r>
    </w:p>
    <w:p>
      <w:pPr>
        <w:pStyle w:val="ListParagraph"/>
        <w:numPr>
          <w:ilvl w:val="0"/>
          <w:numId w:val="1"/>
        </w:numPr>
        <w:spacing w:after="35"/>
      </w:pPr>
      <w:r>
        <w:rPr>
          <w:rFonts w:ascii="Calibri" w:cs="Calibri" w:eastAsia="Calibri" w:hAnsi="Calibri"/>
          <w:sz w:val="18"/>
          <w:szCs w:val="18"/>
        </w:rPr>
        <w:t xml:space="preserve">No transfer fee, permanent delegate, or transfer hook extension is present, so there is no on-chain mechanism for a tax or for a privileged party to move tokens out of a holder's wallet without their signature. Confirmed the same way.</w:t>
      </w:r>
    </w:p>
    <w:p>
      <w:pPr>
        <w:pStyle w:val="ListParagraph"/>
        <w:numPr>
          <w:ilvl w:val="0"/>
          <w:numId w:val="1"/>
        </w:numPr>
        <w:spacing w:after="35"/>
      </w:pPr>
      <w:r>
        <w:rPr>
          <w:rFonts w:ascii="Calibri" w:cs="Calibri" w:eastAsia="Calibri" w:hAnsi="Calibri"/>
          <w:sz w:val="18"/>
          <w:szCs w:val="18"/>
        </w:rPr>
        <w:t xml:space="preserve">Ownership is traceable rather than hidden. Every top ten wallet resolves to a plain keypair, a known custodian, or a program owned pool. None of it sits behind an anonymous shell or an unlabeled intermediary.</w:t>
      </w:r>
    </w:p>
    <w:p>
      <w:pPr>
        <w:pStyle w:val="ListParagraph"/>
        <w:numPr>
          <w:ilvl w:val="0"/>
          <w:numId w:val="1"/>
        </w:numPr>
        <w:spacing w:after="35"/>
      </w:pPr>
      <w:r>
        <w:rPr>
          <w:rFonts w:ascii="Calibri" w:cs="Calibri" w:eastAsia="Calibri" w:hAnsi="Calibri"/>
          <w:sz w:val="18"/>
          <w:szCs w:val="18"/>
        </w:rPr>
        <w:t xml:space="preserve">Solscan reports 99.39% of the primary Pump.fun AMM pool's liquidity as locked, which limits the classic liquidity-pull rug mechanism on that pool specifically. This is sourced from Solscan's own indicator, not independently traced to the underlying locker contract.</w:t>
      </w:r>
    </w:p>
    <w:p>
      <w:pPr>
        <w:spacing w:after="30" w:before="100"/>
      </w:pPr>
      <w:r>
        <w:rPr>
          <w:rFonts w:ascii="Calibri" w:cs="Calibri" w:eastAsia="Calibri" w:hAnsi="Calibri"/>
          <w:b/>
          <w:bCs/>
          <w:color w:val="1F2937"/>
          <w:sz w:val="22"/>
          <w:szCs w:val="22"/>
        </w:rPr>
        <w:t xml:space="preserve">Red Flags</w:t>
      </w:r>
    </w:p>
    <w:p>
      <w:pPr>
        <w:pStyle w:val="ListParagraph"/>
        <w:numPr>
          <w:ilvl w:val="0"/>
          <w:numId w:val="1"/>
        </w:numPr>
        <w:spacing w:after="35"/>
      </w:pPr>
      <w:r>
        <w:rPr>
          <w:rFonts w:ascii="Calibri" w:cs="Calibri" w:eastAsia="Calibri" w:hAnsi="Calibri"/>
          <w:sz w:val="19"/>
          <w:szCs w:val="19"/>
        </w:rPr>
        <w:t xml:space="preserve">A single wallet controls 49% of supply, worth roughly $84M at snapshot, against total identified liquidity of about $4.3M. Any meaningful sale from this wallet moves price sharply against every other holder.</w:t>
      </w:r>
    </w:p>
    <w:p>
      <w:pPr>
        <w:pStyle w:val="ListParagraph"/>
        <w:numPr>
          <w:ilvl w:val="0"/>
          <w:numId w:val="1"/>
        </w:numPr>
        <w:spacing w:after="35"/>
      </w:pPr>
      <w:r>
        <w:rPr>
          <w:rFonts w:ascii="Calibri" w:cs="Calibri" w:eastAsia="Calibri" w:hAnsi="Calibri"/>
          <w:sz w:val="19"/>
          <w:szCs w:val="19"/>
        </w:rPr>
        <w:t xml:space="preserve">65% of total supply was sent to one wallet at launch, confirmed by the launch transaction itself, with no disclosed vesting or lockup governing it. That supply can move at any time at the sole discretion of whoever controls that wallet.</w:t>
      </w:r>
    </w:p>
    <w:p>
      <w:pPr>
        <w:pStyle w:val="ListParagraph"/>
        <w:numPr>
          <w:ilvl w:val="0"/>
          <w:numId w:val="1"/>
        </w:numPr>
        <w:spacing w:after="35"/>
      </w:pPr>
      <w:r>
        <w:rPr>
          <w:rFonts w:ascii="Calibri" w:cs="Calibri" w:eastAsia="Calibri" w:hAnsi="Calibri"/>
          <w:sz w:val="19"/>
          <w:szCs w:val="19"/>
        </w:rPr>
        <w:t xml:space="preserve">Of tokens already distributed through airdrops, tracing of 1,306 recipient wallets shows only about 12% is still held. About 62% of those wallets are now at a zero balance.</w:t>
      </w:r>
    </w:p>
    <w:p>
      <w:pPr>
        <w:pStyle w:val="ListParagraph"/>
        <w:numPr>
          <w:ilvl w:val="0"/>
          <w:numId w:val="1"/>
        </w:numPr>
        <w:spacing w:after="35"/>
      </w:pPr>
      <w:r>
        <w:rPr>
          <w:rFonts w:ascii="Calibri" w:cs="Calibri" w:eastAsia="Calibri" w:hAnsi="Calibri"/>
          <w:sz w:val="19"/>
          <w:szCs w:val="19"/>
        </w:rPr>
        <w:t xml:space="preserve">The project's stated goal of reaching 1,000,000 holders does not match the underlying data. Of roughly 142,000 wallets with a nonzero balance, only about 55,000 hold at least $1 of value, and only about 11,000 hold at least $100, at snapshot price.</w:t>
      </w:r>
    </w:p>
    <w:p>
      <w:pPr>
        <w:pStyle w:val="ListParagraph"/>
        <w:numPr>
          <w:ilvl w:val="0"/>
          <w:numId w:val="1"/>
        </w:numPr>
        <w:spacing w:after="35"/>
      </w:pPr>
      <w:r>
        <w:rPr>
          <w:rFonts w:ascii="Calibri" w:cs="Calibri" w:eastAsia="Calibri" w:hAnsi="Calibri"/>
          <w:sz w:val="18"/>
          <w:szCs w:val="18"/>
        </w:rPr>
        <w:t xml:space="preserve">The full identified liquidity across every ANSEM trading pair, approximately $4.3M combined, is still a small fraction of the $84M held by the single largest wallet. Liquidity is also fragmented: no single pool holds more than about $2.6M, out of 1,625 total trading pairs listed for the token, most of which carry negligible size.</w:t>
      </w:r>
    </w:p>
    <w:p>
      <w:pPr>
        <w:spacing w:after="30" w:before="100"/>
      </w:pPr>
      <w:r>
        <w:rPr>
          <w:rFonts w:ascii="Calibri" w:cs="Calibri" w:eastAsia="Calibri" w:hAnsi="Calibri"/>
          <w:b/>
          <w:bCs/>
          <w:color w:val="1F2937"/>
          <w:sz w:val="22"/>
          <w:szCs w:val="22"/>
        </w:rPr>
        <w:t xml:space="preserve">Sell Pressure Scenarios</w:t>
      </w:r>
    </w:p>
    <w:p>
      <w:pPr>
        <w:spacing w:after="80" w:before="0"/>
      </w:pPr>
      <w:r>
        <w:rPr>
          <w:rFonts w:ascii="Calibri" w:cs="Calibri" w:eastAsia="Calibri" w:hAnsi="Calibri"/>
          <w:i/>
          <w:iCs/>
          <w:color w:val="555555"/>
          <w:sz w:val="17"/>
          <w:szCs w:val="17"/>
        </w:rPr>
        <w:t xml:space="preserve">This models sales routed through identified pools using their actual reserves at the snapshot. The single pool column uses the Pump.fun AMM alone. The combined column adds the largest Meteora pool (3,538,924.48 ANSEM and 5,452.48 WSOL), an approximation since Meteora uses a binned liquidity design rather than a simple constant product curve. A full market breakdown from Solscan confirms combined liquidity of approximately $4.3M across roughly ten sized pools; the two modeled here account for about $3.9M of it. A real sale routed through an aggregator would likely draw on additional smaller pools too, producing a smaller impact than even the combined figures below.</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320"/>
        <w:gridCol w:w="2720"/>
      </w:tblGrid>
      <w:tr>
        <w:trPr>
          <w:tblHeader/>
        </w:trPr>
        <w:tc>
          <w:tcPr>
            <w:tcW w:type="dxa" w:w="1800"/>
            <w:tcBorders>
              <w:top w:val="single" w:color="CCCCCC" w:sz="2"/>
              <w:left w:val="single" w:color="CCCCCC" w:sz="2"/>
              <w:bottom w:val="single" w:color="CCCCCC" w:sz="2"/>
              <w:right w:val="single" w:color="CCCCCC" w:sz="2"/>
            </w:tcBorders>
            <w:shd w:fill="2B2B2B" w:val="clear"/>
            <w:tcMar>
              <w:top w:type="dxa" w:w="60"/>
              <w:left w:type="dxa" w:w="90"/>
              <w:bottom w:type="dxa" w:w="60"/>
              <w:right w:type="dxa" w:w="90"/>
            </w:tcMar>
          </w:tcPr>
          <w:p>
            <w:r>
              <w:rPr>
                <w:rFonts w:ascii="Calibri" w:cs="Calibri" w:eastAsia="Calibri" w:hAnsi="Calibri"/>
                <w:b/>
                <w:bCs/>
                <w:color w:val="FFFFFF"/>
                <w:sz w:val="17"/>
                <w:szCs w:val="17"/>
              </w:rPr>
              <w:t xml:space="preserve">Sell size (largest wallet)</w:t>
            </w:r>
          </w:p>
        </w:tc>
        <w:tc>
          <w:tcPr>
            <w:tcW w:type="dxa" w:w="2600"/>
            <w:tcBorders>
              <w:top w:val="single" w:color="CCCCCC" w:sz="2"/>
              <w:left w:val="single" w:color="CCCCCC" w:sz="2"/>
              <w:bottom w:val="single" w:color="CCCCCC" w:sz="2"/>
              <w:right w:val="single" w:color="CCCCCC" w:sz="2"/>
            </w:tcBorders>
            <w:shd w:fill="2B2B2B" w:val="clear"/>
            <w:tcMar>
              <w:top w:type="dxa" w:w="60"/>
              <w:left w:type="dxa" w:w="90"/>
              <w:bottom w:type="dxa" w:w="60"/>
              <w:right w:type="dxa" w:w="90"/>
            </w:tcMar>
          </w:tcPr>
          <w:p>
            <w:r>
              <w:rPr>
                <w:rFonts w:ascii="Calibri" w:cs="Calibri" w:eastAsia="Calibri" w:hAnsi="Calibri"/>
                <w:b/>
                <w:bCs/>
                <w:color w:val="FFFFFF"/>
                <w:sz w:val="17"/>
                <w:szCs w:val="17"/>
              </w:rPr>
              <w:t xml:space="preserve">Tokens sold</w:t>
            </w:r>
          </w:p>
        </w:tc>
        <w:tc>
          <w:tcPr>
            <w:tcW w:type="dxa" w:w="2320"/>
            <w:tcBorders>
              <w:top w:val="single" w:color="CCCCCC" w:sz="2"/>
              <w:left w:val="single" w:color="CCCCCC" w:sz="2"/>
              <w:bottom w:val="single" w:color="CCCCCC" w:sz="2"/>
              <w:right w:val="single" w:color="CCCCCC" w:sz="2"/>
            </w:tcBorders>
            <w:shd w:fill="2B2B2B" w:val="clear"/>
            <w:tcMar>
              <w:top w:type="dxa" w:w="60"/>
              <w:left w:type="dxa" w:w="90"/>
              <w:bottom w:type="dxa" w:w="60"/>
              <w:right w:type="dxa" w:w="90"/>
            </w:tcMar>
          </w:tcPr>
          <w:p>
            <w:r>
              <w:rPr>
                <w:rFonts w:ascii="Calibri" w:cs="Calibri" w:eastAsia="Calibri" w:hAnsi="Calibri"/>
                <w:b/>
                <w:bCs/>
                <w:color w:val="FFFFFF"/>
                <w:sz w:val="17"/>
                <w:szCs w:val="17"/>
              </w:rPr>
              <w:t xml:space="preserve">Single pool (Pump.fun)</w:t>
            </w:r>
          </w:p>
        </w:tc>
        <w:tc>
          <w:tcPr>
            <w:tcW w:type="dxa" w:w="2720"/>
            <w:tcBorders>
              <w:top w:val="single" w:color="CCCCCC" w:sz="2"/>
              <w:left w:val="single" w:color="CCCCCC" w:sz="2"/>
              <w:bottom w:val="single" w:color="CCCCCC" w:sz="2"/>
              <w:right w:val="single" w:color="CCCCCC" w:sz="2"/>
            </w:tcBorders>
            <w:shd w:fill="2B2B2B" w:val="clear"/>
            <w:tcMar>
              <w:top w:type="dxa" w:w="60"/>
              <w:left w:type="dxa" w:w="90"/>
              <w:bottom w:type="dxa" w:w="60"/>
              <w:right w:type="dxa" w:w="90"/>
            </w:tcMar>
          </w:tcPr>
          <w:p>
            <w:r>
              <w:rPr>
                <w:rFonts w:ascii="Calibri" w:cs="Calibri" w:eastAsia="Calibri" w:hAnsi="Calibri"/>
                <w:b/>
                <w:bCs/>
                <w:color w:val="FFFFFF"/>
                <w:sz w:val="17"/>
                <w:szCs w:val="17"/>
              </w:rPr>
              <w:t xml:space="preserve">Combined (2 pools)</w:t>
            </w:r>
          </w:p>
        </w:tc>
      </w:tr>
      <w:tr>
        <w:tc>
          <w:tcPr>
            <w:tcW w:type="dxa" w:w="18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sz w:val="17"/>
                <w:szCs w:val="17"/>
              </w:rPr>
              <w:t xml:space="preserve">1%</w:t>
            </w:r>
          </w:p>
        </w:tc>
        <w:tc>
          <w:tcPr>
            <w:tcW w:type="dxa" w:w="26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sz w:val="17"/>
                <w:szCs w:val="17"/>
              </w:rPr>
              <w:t xml:space="preserve">4,910,001 ANSEM</w:t>
            </w:r>
          </w:p>
        </w:tc>
        <w:tc>
          <w:tcPr>
            <w:tcW w:type="dxa" w:w="232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color w:val="B3261E"/>
                <w:sz w:val="17"/>
                <w:szCs w:val="17"/>
              </w:rPr>
              <w:t xml:space="preserve">approximately -61%</w:t>
            </w:r>
          </w:p>
        </w:tc>
        <w:tc>
          <w:tcPr>
            <w:tcW w:type="dxa" w:w="272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color w:val="9C6B00"/>
                <w:sz w:val="17"/>
                <w:szCs w:val="17"/>
              </w:rPr>
              <w:t xml:space="preserve">approximately -51%</w:t>
            </w:r>
          </w:p>
        </w:tc>
      </w:tr>
      <w:tr>
        <w:tc>
          <w:tcPr>
            <w:tcW w:type="dxa" w:w="18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sz w:val="17"/>
                <w:szCs w:val="17"/>
              </w:rPr>
              <w:t xml:space="preserve">5%</w:t>
            </w:r>
          </w:p>
        </w:tc>
        <w:tc>
          <w:tcPr>
            <w:tcW w:type="dxa" w:w="26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sz w:val="17"/>
                <w:szCs w:val="17"/>
              </w:rPr>
              <w:t xml:space="preserve">24,550,005 ANSEM</w:t>
            </w:r>
          </w:p>
        </w:tc>
        <w:tc>
          <w:tcPr>
            <w:tcW w:type="dxa" w:w="232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color w:val="B3261E"/>
                <w:sz w:val="17"/>
                <w:szCs w:val="17"/>
              </w:rPr>
              <w:t xml:space="preserve">approximately -94%</w:t>
            </w:r>
          </w:p>
        </w:tc>
        <w:tc>
          <w:tcPr>
            <w:tcW w:type="dxa" w:w="272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color w:val="B3261E"/>
                <w:sz w:val="17"/>
                <w:szCs w:val="17"/>
              </w:rPr>
              <w:t xml:space="preserve">approximately -90%</w:t>
            </w:r>
          </w:p>
        </w:tc>
      </w:tr>
      <w:tr>
        <w:tc>
          <w:tcPr>
            <w:tcW w:type="dxa" w:w="18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sz w:val="17"/>
                <w:szCs w:val="17"/>
              </w:rPr>
              <w:t xml:space="preserve">10%</w:t>
            </w:r>
          </w:p>
        </w:tc>
        <w:tc>
          <w:tcPr>
            <w:tcW w:type="dxa" w:w="260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sz w:val="17"/>
                <w:szCs w:val="17"/>
              </w:rPr>
              <w:t xml:space="preserve">49,100,010 ANSEM</w:t>
            </w:r>
          </w:p>
        </w:tc>
        <w:tc>
          <w:tcPr>
            <w:tcW w:type="dxa" w:w="232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color w:val="B3261E"/>
                <w:sz w:val="17"/>
                <w:szCs w:val="17"/>
              </w:rPr>
              <w:t xml:space="preserve">approximately -98%</w:t>
            </w:r>
          </w:p>
        </w:tc>
        <w:tc>
          <w:tcPr>
            <w:tcW w:type="dxa" w:w="2720"/>
            <w:tcBorders>
              <w:top w:val="single" w:color="CCCCCC" w:sz="2"/>
              <w:left w:val="single" w:color="CCCCCC" w:sz="2"/>
              <w:bottom w:val="single" w:color="CCCCCC" w:sz="2"/>
              <w:right w:val="single" w:color="CCCCCC" w:sz="2"/>
            </w:tcBorders>
            <w:tcMar>
              <w:top w:type="dxa" w:w="20"/>
              <w:left w:type="dxa" w:w="75"/>
              <w:bottom w:type="dxa" w:w="20"/>
              <w:right w:type="dxa" w:w="75"/>
            </w:tcMar>
          </w:tcPr>
          <w:p>
            <w:r>
              <w:rPr>
                <w:rFonts w:ascii="Calibri" w:cs="Calibri" w:eastAsia="Calibri" w:hAnsi="Calibri"/>
                <w:b/>
                <w:bCs/>
                <w:color w:val="B3261E"/>
                <w:sz w:val="17"/>
                <w:szCs w:val="17"/>
              </w:rPr>
              <w:t xml:space="preserve">approximately -96%</w:t>
            </w:r>
          </w:p>
        </w:tc>
      </w:tr>
    </w:tbl>
    <w:p>
      <w:pPr>
        <w:spacing w:after="30" w:before="100"/>
      </w:pPr>
      <w:r>
        <w:rPr>
          <w:rFonts w:ascii="Calibri" w:cs="Calibri" w:eastAsia="Calibri" w:hAnsi="Calibri"/>
          <w:b/>
          <w:bCs/>
          <w:color w:val="1F2937"/>
          <w:sz w:val="22"/>
          <w:szCs w:val="22"/>
        </w:rPr>
        <w:t xml:space="preserve">Bottom Line</w:t>
      </w:r>
    </w:p>
    <w:p>
      <w:pPr>
        <w:spacing w:after="70" w:before="0"/>
      </w:pPr>
      <w:r>
        <w:rPr>
          <w:rFonts w:ascii="Calibri" w:cs="Calibri" w:eastAsia="Calibri" w:hAnsi="Calibri"/>
          <w:sz w:val="20"/>
          <w:szCs w:val="20"/>
        </w:rPr>
        <w:t xml:space="preserve">The tradeoff here is straightforward. The token's mechanics are clean: no tax, no ability to freeze funds, no hidden minting. That is a low bar, and it does not offset the structural risk sitting on top of it. Nearly two thirds of supply sits with a small number of wallets that trace back to a single confirmed transfer, against a pool that could not absorb even a small fraction of the largest wallet's position without a severe price move. An investor here is not weighing a scam mechanism. They are weighing whether a wallet holding 49% of supply, worth roughly $84 million, chooses not to sell.</w:t>
      </w:r>
    </w:p>
    <w:p>
      <w:pPr>
        <w:spacing w:after="30" w:before="100"/>
      </w:pPr>
      <w:r>
        <w:rPr>
          <w:rFonts w:ascii="Calibri" w:cs="Calibri" w:eastAsia="Calibri" w:hAnsi="Calibri"/>
          <w:b/>
          <w:bCs/>
          <w:color w:val="1F2937"/>
          <w:sz w:val="22"/>
          <w:szCs w:val="22"/>
        </w:rPr>
        <w:t xml:space="preserve">Watch List</w:t>
      </w:r>
    </w:p>
    <w:p>
      <w:pPr>
        <w:pStyle w:val="ListParagraph"/>
        <w:numPr>
          <w:ilvl w:val="0"/>
          <w:numId w:val="1"/>
        </w:numPr>
        <w:spacing w:after="35"/>
      </w:pPr>
      <w:r>
        <w:rPr>
          <w:rFonts w:ascii="Calibri" w:cs="Calibri" w:eastAsia="Calibri" w:hAnsi="Calibri"/>
          <w:sz w:val="18"/>
          <w:szCs w:val="18"/>
        </w:rPr>
        <w:t xml:space="preserve">Any transfer of ANSEM out of wallet 7oU9nR9VEvFPwvp2PpXo2LQc6A92QRhcUTwhLWT7MsDM, the current largest holder, above a small threshold, particularly toward a DEX pool or a new exchange deposit address.</w:t>
      </w:r>
    </w:p>
    <w:p>
      <w:pPr>
        <w:pStyle w:val="ListParagraph"/>
        <w:numPr>
          <w:ilvl w:val="0"/>
          <w:numId w:val="1"/>
        </w:numPr>
        <w:spacing w:after="35"/>
      </w:pPr>
      <w:r>
        <w:rPr>
          <w:rFonts w:ascii="Calibri" w:cs="Calibri" w:eastAsia="Calibri" w:hAnsi="Calibri"/>
          <w:sz w:val="18"/>
          <w:szCs w:val="18"/>
        </w:rPr>
        <w:t xml:space="preserve">Any outbound transfer from GV6UUmNxz2RpKxmNAPadYKb7uQpszwqQAu3qLJxVdC52, the wallet confirmed to have received the original 650,000,000 token transfer at launch.</w:t>
      </w:r>
    </w:p>
    <w:p>
      <w:pPr>
        <w:pStyle w:val="ListParagraph"/>
        <w:numPr>
          <w:ilvl w:val="0"/>
          <w:numId w:val="1"/>
        </w:numPr>
        <w:spacing w:after="35"/>
      </w:pPr>
      <w:r>
        <w:rPr>
          <w:rFonts w:ascii="Calibri" w:cs="Calibri" w:eastAsia="Calibri" w:hAnsi="Calibri"/>
          <w:sz w:val="18"/>
          <w:szCs w:val="18"/>
        </w:rPr>
        <w:t xml:space="preserve">Independent confirmation of the locker contract behind the Pump.fun AMM pool's reported 99.39% lock, including its unlock date if one exists, since an expiring lock would change the liquidity depth rating above.</w:t>
      </w:r>
    </w:p>
    <w:p>
      <w:pPr>
        <w:pStyle w:val="ListParagraph"/>
        <w:numPr>
          <w:ilvl w:val="0"/>
          <w:numId w:val="1"/>
        </w:numPr>
        <w:spacing w:after="35"/>
      </w:pPr>
      <w:r>
        <w:rPr>
          <w:rFonts w:ascii="Calibri" w:cs="Calibri" w:eastAsia="Calibri" w:hAnsi="Calibri"/>
          <w:sz w:val="18"/>
          <w:szCs w:val="18"/>
        </w:rPr>
        <w:t xml:space="preserve">Any public statement from Ansem's own verified account directly confirming or denying control of the wallets referenced in this report, which would raise or lower the attribution confidence rating above.</w:t>
      </w:r>
    </w:p>
    <w:p>
      <w:pPr>
        <w:pStyle w:val="ListParagraph"/>
        <w:numPr>
          <w:ilvl w:val="0"/>
          <w:numId w:val="1"/>
        </w:numPr>
        <w:spacing w:after="35"/>
      </w:pPr>
      <w:r>
        <w:rPr>
          <w:rFonts w:ascii="Calibri" w:cs="Calibri" w:eastAsia="Calibri" w:hAnsi="Calibri"/>
          <w:sz w:val="18"/>
          <w:szCs w:val="18"/>
        </w:rPr>
        <w:t xml:space="preserve">A material change in the airdrop retention rate, currently about 12% across 1,306 traced recipients, which would indicate a shift in how the community is treating newly distributed supply.</w:t>
      </w:r>
    </w:p>
    <w:p>
      <w:pPr>
        <w:spacing w:after="30" w:before="100"/>
      </w:pPr>
      <w:r>
        <w:rPr>
          <w:rFonts w:ascii="Calibri" w:cs="Calibri" w:eastAsia="Calibri" w:hAnsi="Calibri"/>
          <w:b/>
          <w:bCs/>
          <w:color w:val="1F2937"/>
          <w:sz w:val="22"/>
          <w:szCs w:val="22"/>
        </w:rPr>
        <w:t xml:space="preserve">Methodology</w:t>
      </w:r>
    </w:p>
    <w:p>
      <w:pPr>
        <w:spacing w:after="60" w:before="0"/>
      </w:pPr>
      <w:r>
        <w:rPr>
          <w:rFonts w:ascii="Calibri" w:cs="Calibri" w:eastAsia="Calibri" w:hAnsi="Calibri"/>
          <w:b/>
          <w:bCs/>
          <w:sz w:val="18"/>
          <w:szCs w:val="18"/>
        </w:rPr>
        <w:t xml:space="preserve">Verified directly on-chain and cross-checked by the analyst, Matthew Raphael Nnamani (@0x_note), using Dune Analytics and Solscan, snapshot dated September 21 to 22, 2026: </w:t>
      </w:r>
    </w:p>
    <w:p>
      <w:pPr>
        <w:pStyle w:val="ListParagraph"/>
        <w:numPr>
          <w:ilvl w:val="0"/>
          <w:numId w:val="1"/>
        </w:numPr>
        <w:spacing w:after="35"/>
      </w:pPr>
      <w:r>
        <w:rPr>
          <w:rFonts w:ascii="Calibri" w:cs="Calibri" w:eastAsia="Calibri" w:hAnsi="Calibri"/>
          <w:sz w:val="18"/>
          <w:szCs w:val="18"/>
        </w:rPr>
        <w:t xml:space="preserve">The mint's token program, extensions data, and the null mint and freeze authority.</w:t>
      </w:r>
    </w:p>
    <w:p>
      <w:pPr>
        <w:pStyle w:val="ListParagraph"/>
        <w:numPr>
          <w:ilvl w:val="0"/>
          <w:numId w:val="1"/>
        </w:numPr>
        <w:spacing w:after="35"/>
      </w:pPr>
      <w:r>
        <w:rPr>
          <w:rFonts w:ascii="Calibri" w:cs="Calibri" w:eastAsia="Calibri" w:hAnsi="Calibri"/>
          <w:sz w:val="18"/>
          <w:szCs w:val="18"/>
        </w:rPr>
        <w:t xml:space="preserve">Current top holder balances and their share of supply, via query on Solana transfer data.</w:t>
      </w:r>
    </w:p>
    <w:p>
      <w:pPr>
        <w:pStyle w:val="ListParagraph"/>
        <w:numPr>
          <w:ilvl w:val="0"/>
          <w:numId w:val="1"/>
        </w:numPr>
        <w:spacing w:after="35"/>
      </w:pPr>
      <w:r>
        <w:rPr>
          <w:rFonts w:ascii="Calibri" w:cs="Calibri" w:eastAsia="Calibri" w:hAnsi="Calibri"/>
          <w:sz w:val="18"/>
          <w:szCs w:val="18"/>
        </w:rPr>
        <w:t xml:space="preserve">The launch transaction, signature 5SGKQKgDfKYRv8XerDKWWEycXpz44JCdThmm4Rx6FzuaJujoGRhyYWf1dCVdakkHZPSeKTy3R9KgAR9TNfmEB3Db, confirming a transfer of 650,000,000 ANSEM from the deployer to GV6UUmNxz2RpKxmNAPadYKb7uQpszwqQAu3qLJxVdC52 on June 16, 2026.</w:t>
      </w:r>
    </w:p>
    <w:p>
      <w:pPr>
        <w:pStyle w:val="ListParagraph"/>
        <w:numPr>
          <w:ilvl w:val="0"/>
          <w:numId w:val="1"/>
        </w:numPr>
        <w:spacing w:after="35"/>
      </w:pPr>
      <w:r>
        <w:rPr>
          <w:rFonts w:ascii="Calibri" w:cs="Calibri" w:eastAsia="Calibri" w:hAnsi="Calibri"/>
          <w:sz w:val="18"/>
          <w:szCs w:val="18"/>
        </w:rPr>
        <w:t xml:space="preserve">Three subsequent transfers totaling 491,000,100 ANSEM from that same wallet to the current largest holder, dated July 31 to August 1, 2026, each confirmed by its own transaction signature.</w:t>
      </w:r>
    </w:p>
    <w:p>
      <w:pPr>
        <w:pStyle w:val="ListParagraph"/>
        <w:numPr>
          <w:ilvl w:val="0"/>
          <w:numId w:val="1"/>
        </w:numPr>
        <w:spacing w:after="35"/>
      </w:pPr>
      <w:r>
        <w:rPr>
          <w:rFonts w:ascii="Calibri" w:cs="Calibri" w:eastAsia="Calibri" w:hAnsi="Calibri"/>
          <w:sz w:val="18"/>
          <w:szCs w:val="18"/>
        </w:rPr>
        <w:t xml:space="preserve">Reserves of the Pump.fun AMM and two Meteora pools identified in this analysis, read directly from each pool's account.</w:t>
      </w:r>
    </w:p>
    <w:p>
      <w:pPr>
        <w:pStyle w:val="ListParagraph"/>
        <w:numPr>
          <w:ilvl w:val="0"/>
          <w:numId w:val="1"/>
        </w:numPr>
        <w:spacing w:after="35"/>
      </w:pPr>
      <w:r>
        <w:rPr>
          <w:rFonts w:ascii="Calibri" w:cs="Calibri" w:eastAsia="Calibri" w:hAnsi="Calibri"/>
          <w:sz w:val="18"/>
          <w:szCs w:val="18"/>
        </w:rPr>
        <w:t xml:space="preserve">Airdrop retention figures, based on tracing 1,306 recipient wallets against their current balances and DEX sell activity.</w:t>
      </w:r>
    </w:p>
    <w:p>
      <w:pPr>
        <w:pStyle w:val="ListParagraph"/>
        <w:numPr>
          <w:ilvl w:val="0"/>
          <w:numId w:val="1"/>
        </w:numPr>
        <w:spacing w:after="35"/>
      </w:pPr>
      <w:r>
        <w:rPr>
          <w:rFonts w:ascii="Calibri" w:cs="Calibri" w:eastAsia="Calibri" w:hAnsi="Calibri"/>
          <w:sz w:val="18"/>
          <w:szCs w:val="18"/>
        </w:rPr>
        <w:t xml:space="preserve">Holder counts filtered by minimum USD value, based on the same balance data.</w:t>
      </w:r>
    </w:p>
    <w:p>
      <w:pPr>
        <w:pStyle w:val="ListParagraph"/>
        <w:numPr>
          <w:ilvl w:val="0"/>
          <w:numId w:val="1"/>
        </w:numPr>
        <w:spacing w:after="35"/>
      </w:pPr>
      <w:r>
        <w:rPr>
          <w:rFonts w:ascii="Calibri" w:cs="Calibri" w:eastAsia="Calibri" w:hAnsi="Calibri"/>
          <w:sz w:val="18"/>
          <w:szCs w:val="18"/>
        </w:rPr>
        <w:t xml:space="preserve">Ansem's public statement on X describing the airdrops as a redistribution of Pump.fun creator fees, read directly from his account by the analyst.</w:t>
      </w:r>
    </w:p>
    <w:p>
      <w:pPr>
        <w:pStyle w:val="ListParagraph"/>
        <w:numPr>
          <w:ilvl w:val="0"/>
          <w:numId w:val="1"/>
        </w:numPr>
        <w:spacing w:after="35"/>
      </w:pPr>
      <w:r>
        <w:rPr>
          <w:rFonts w:ascii="Calibri" w:cs="Calibri" w:eastAsia="Calibri" w:hAnsi="Calibri"/>
          <w:sz w:val="18"/>
          <w:szCs w:val="18"/>
        </w:rPr>
        <w:t xml:space="preserve">The Lookonchain report that seven wallets received roughly 50 million tokens in early distribution, cross-checked directly against the source by the analyst.</w:t>
      </w:r>
    </w:p>
    <w:p>
      <w:pPr>
        <w:spacing w:after="60" w:before="100"/>
      </w:pPr>
      <w:r>
        <w:rPr>
          <w:rFonts w:ascii="Calibri" w:cs="Calibri" w:eastAsia="Calibri" w:hAnsi="Calibri"/>
          <w:b/>
          <w:bCs/>
          <w:sz w:val="18"/>
          <w:szCs w:val="18"/>
        </w:rPr>
        <w:t xml:space="preserve">Cited from outside reporting for context only, not independently re-verified by the analyst: </w:t>
      </w:r>
    </w:p>
    <w:p>
      <w:pPr>
        <w:pStyle w:val="ListParagraph"/>
        <w:numPr>
          <w:ilvl w:val="0"/>
          <w:numId w:val="1"/>
        </w:numPr>
        <w:spacing w:after="35"/>
      </w:pPr>
      <w:r>
        <w:rPr>
          <w:rFonts w:ascii="Calibri" w:cs="Calibri" w:eastAsia="Calibri" w:hAnsi="Calibri"/>
          <w:sz w:val="18"/>
          <w:szCs w:val="18"/>
        </w:rPr>
        <w:t xml:space="preserve">The deployer's initial bonding curve purchase and sale, the approximate profit realized, and Ansem's stated goal of reaching 1,000,000 holders, reported by Lookonchain and syndicated by other outlets shortly after launch.</w:t>
      </w:r>
    </w:p>
    <w:p>
      <w:pPr>
        <w:pStyle w:val="ListParagraph"/>
        <w:numPr>
          <w:ilvl w:val="0"/>
          <w:numId w:val="1"/>
        </w:numPr>
        <w:spacing w:after="35"/>
      </w:pPr>
      <w:r>
        <w:rPr>
          <w:rFonts w:ascii="Calibri" w:cs="Calibri" w:eastAsia="Calibri" w:hAnsi="Calibri"/>
          <w:sz w:val="18"/>
          <w:szCs w:val="18"/>
        </w:rPr>
        <w:t xml:space="preserve">Earlier, smaller sample reporting on airdrop recipient selling behavior from Lookonchain, used only as a point of comparison to this report's own larger traced sample.</w:t>
      </w:r>
    </w:p>
    <w:p>
      <w:pPr>
        <w:spacing w:after="60" w:before="60"/>
      </w:pPr>
      <w:r>
        <w:rPr>
          <w:rFonts w:ascii="Calibri" w:cs="Calibri" w:eastAsia="Calibri" w:hAnsi="Calibri"/>
          <w:b/>
          <w:bCs/>
          <w:sz w:val="18"/>
          <w:szCs w:val="18"/>
        </w:rPr>
        <w:t xml:space="preserve">Wallet attribution: </w:t>
      </w:r>
      <w:r>
        <w:rPr>
          <w:rFonts w:ascii="Calibri" w:cs="Calibri" w:eastAsia="Calibri" w:hAnsi="Calibri"/>
          <w:sz w:val="18"/>
          <w:szCs w:val="18"/>
        </w:rPr>
        <w:t xml:space="preserve">the identification of GV6UUmNxz2RpKxmNAPadYKb7uQpszwqQAu3qLJxVdC52 and 7oU9nR9VEvFPwvp2PpXo2LQc6A92QRhcUTwhLWT7MsDM as linked to Ansem rests on public tags applied by Solscan and a third party post cited by Solscan, not on a signed statement from Ansem's own verified account. The transaction level flow of funds between these wallets is independently confirmed regardless of that attribution. </w:t>
      </w:r>
      <w:r>
        <w:rPr>
          <w:rFonts w:ascii="Calibri" w:cs="Calibri" w:eastAsia="Calibri" w:hAnsi="Calibri"/>
          <w:b/>
          <w:bCs/>
          <w:sz w:val="18"/>
          <w:szCs w:val="18"/>
        </w:rPr>
        <w:t xml:space="preserve">This is a risk assessment based on available data, not financial advice, and not a recommendation to buy, hold, or sell any asset.</w:t>
      </w:r>
    </w:p>
    <w:sectPr>
      <w:pgSz w:w="12240" w:h="15840" w:orient="portrait"/>
      <w:pgMar w:top="300" w:right="860" w:bottom="30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2026-09-23T03:20:24.529Z</dcterms:created>
  <dcterms:modified xsi:type="dcterms:W3CDTF">2026-09-23T03:20:24.529Z</dcterms:modified>
</cp:coreProperties>
</file>

<file path=docProps/custom.xml><?xml version="1.0" encoding="utf-8"?>
<Properties xmlns="http://schemas.openxmlformats.org/officeDocument/2006/custom-properties" xmlns:vt="http://schemas.openxmlformats.org/officeDocument/2006/docPropsVTypes"/>
</file>