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Calibri" w:cs="Calibri" w:eastAsia="Calibri" w:hAnsi="Calibri"/>
          <w:b/>
          <w:bCs/>
          <w:color w:val="8B1E1E"/>
          <w:sz w:val="44"/>
          <w:szCs w:val="44"/>
        </w:rPr>
        <w:t xml:space="preserve">ON-CHAIN DISTRIBUTION &amp; HEALTH REPORT</w:t>
      </w:r>
    </w:p>
    <w:p>
      <w:pPr>
        <w:spacing w:after="100"/>
      </w:pPr>
      <w:r>
        <w:rPr>
          <w:rFonts w:ascii="Calibri" w:cs="Calibri" w:eastAsia="Calibri" w:hAnsi="Calibri"/>
          <w:b/>
          <w:bCs/>
          <w:color w:val="1A1A1A"/>
          <w:sz w:val="32"/>
          <w:szCs w:val="32"/>
        </w:rPr>
        <w:t xml:space="preserve">$ANSEM — "The Black Bull"</w:t>
      </w:r>
    </w:p>
    <w:p>
      <w:pPr>
        <w:spacing w:after="500"/>
      </w:pPr>
      <w:r>
        <w:rPr>
          <w:rFonts w:ascii="Calibri" w:cs="Calibri" w:eastAsia="Calibri" w:hAnsi="Calibri"/>
          <w:i/>
          <w:iCs/>
          <w:color w:val="555555"/>
          <w:sz w:val="22"/>
          <w:szCs w:val="22"/>
        </w:rPr>
        <w:t xml:space="preserve">Solana SPL Token-2022 Mint</w:t>
      </w:r>
    </w:p>
    <w:p>
      <w:pPr>
        <w:spacing w:after="60"/>
      </w:pPr>
      <w:r>
        <w:rPr>
          <w:rFonts w:ascii="Calibri" w:cs="Calibri" w:eastAsia="Calibri" w:hAnsi="Calibri"/>
          <w:b/>
          <w:bCs/>
          <w:sz w:val="20"/>
          <w:szCs w:val="20"/>
        </w:rPr>
        <w:t xml:space="preserve">Mint address:</w:t>
      </w:r>
    </w:p>
    <w:p>
      <w:pPr>
        <w:spacing w:after="300"/>
      </w:pPr>
      <w:r>
        <w:rPr>
          <w:rFonts w:ascii="Consolas" w:cs="Consolas" w:eastAsia="Consolas" w:hAnsi="Consolas"/>
          <w:color w:val="1A1A1A"/>
          <w:sz w:val="20"/>
          <w:szCs w:val="20"/>
        </w:rPr>
        <w:t xml:space="preserve">9cRCn9rGT8V2imeM2BaKs13yhMEais3ruM3rPvTGpump</w:t>
      </w:r>
    </w:p>
    <w:p>
      <w:pPr>
        <w:spacing w:after="60"/>
      </w:pPr>
      <w:r>
        <w:rPr>
          <w:rFonts w:ascii="Calibri" w:cs="Calibri" w:eastAsia="Calibri" w:hAnsi="Calibri"/>
          <w:b/>
          <w:bCs/>
          <w:sz w:val="20"/>
          <w:szCs w:val="20"/>
        </w:rPr>
        <w:t xml:space="preserve">Prepared by:</w:t>
      </w:r>
    </w:p>
    <w:p>
      <w:pPr>
        <w:spacing w:after="300"/>
      </w:pPr>
      <w:r>
        <w:rPr>
          <w:rFonts w:ascii="Calibri" w:cs="Calibri" w:eastAsia="Calibri" w:hAnsi="Calibri"/>
          <w:sz w:val="20"/>
          <w:szCs w:val="20"/>
        </w:rPr>
        <w:t xml:space="preserve">Matthew Raphael Nnamani (@0x_note) — independent on-chain forensics analyst</w:t>
      </w:r>
    </w:p>
    <w:p>
      <w:pPr>
        <w:spacing w:after="60"/>
      </w:pPr>
      <w:r>
        <w:rPr>
          <w:rFonts w:ascii="Calibri" w:cs="Calibri" w:eastAsia="Calibri" w:hAnsi="Calibri"/>
          <w:b/>
          <w:bCs/>
          <w:sz w:val="20"/>
          <w:szCs w:val="20"/>
        </w:rPr>
        <w:t xml:space="preserve">Report date:</w:t>
      </w:r>
    </w:p>
    <w:p>
      <w:pPr>
        <w:spacing w:after="500"/>
      </w:pPr>
      <w:r>
        <w:rPr>
          <w:rFonts w:ascii="Calibri" w:cs="Calibri" w:eastAsia="Calibri" w:hAnsi="Calibri"/>
          <w:sz w:val="20"/>
          <w:szCs w:val="20"/>
        </w:rPr>
        <w:t xml:space="preserve">September 22, 2026</w:t>
      </w:r>
    </w:p>
    <w:p>
      <w:pPr>
        <w:pBdr>
          <w:top w:val="single" w:color="CCCCCC" w:sz="6"/>
          <w:bottom w:val="single" w:color="CCCCCC" w:sz="6"/>
        </w:pBdr>
        <w:spacing w:after="200"/>
      </w:pPr>
      <w:r>
        <w:rPr>
          <w:sz w:val="2"/>
          <w:szCs w:val="2"/>
        </w:rPr>
        <w:t xml:space="preserve"> </w:t>
      </w:r>
    </w:p>
    <w:p>
      <w:pPr>
        <w:spacing w:after="100" w:before="200"/>
      </w:pPr>
      <w:r>
        <w:rPr>
          <w:rFonts w:ascii="Calibri" w:cs="Calibri" w:eastAsia="Calibri" w:hAnsi="Calibri"/>
          <w:b/>
          <w:bCs/>
          <w:color w:val="8B1E1E"/>
          <w:sz w:val="20"/>
          <w:szCs w:val="20"/>
        </w:rPr>
        <w:t xml:space="preserve">Snapshot disclaimer</w:t>
      </w:r>
    </w:p>
    <w:p>
      <w:pPr>
        <w:spacing w:after="160" w:before="0"/>
      </w:pPr>
      <w:r>
        <w:rPr>
          <w:rFonts w:ascii="Calibri" w:cs="Calibri" w:eastAsia="Calibri" w:hAnsi="Calibri"/>
          <w:sz w:val="19"/>
          <w:szCs w:val="19"/>
        </w:rPr>
        <w:t xml:space="preserve">This is a Solana SPL Token-2022 asset — findings were gathered using Solana-native tooling (Solscan, Dune's Solana schemas) rather than Ethereum-style analysis. All balances, prices, and pool reserves in this report are point-in-time snapshots taken between September 21–22, 2026 (UTC), as cited beside each figure. On-chain state (balances, pool depth, price) changes continuously; treat every number here as accurate as of its cited timestamp, not as live.</w:t>
      </w:r>
    </w:p>
    <w:p>
      <w:pPr>
        <w:spacing w:after="160" w:before="0"/>
      </w:pPr>
      <w:r>
        <w:rPr>
          <w:rFonts w:ascii="Calibri" w:cs="Calibri" w:eastAsia="Calibri" w:hAnsi="Calibri"/>
          <w:i/>
          <w:iCs/>
          <w:color w:val="555555"/>
          <w:sz w:val="19"/>
          <w:szCs w:val="19"/>
        </w:rPr>
        <w:t xml:space="preserve">Every factual claim below is cited to a specific wallet address, transaction signature, Solscan page, or named public source. Where a claim could not be independently verified on-chain, that is stated explicitly rather than presented as fact.</w:t>
      </w:r>
    </w:p>
    <w:p>
      <w:pPr>
        <w:sectPr>
          <w:pgSz w:w="12240" w:h="15840" w:orient="portrait"/>
          <w:pgMar w:top="1440" w:right="1440" w:bottom="1440" w:left="1440" w:header="708" w:footer="708" w:gutter="0"/>
          <w:pgNumType/>
          <w:docGrid w:linePitch="360"/>
        </w:sectPr>
      </w:pPr>
    </w:p>
    <w:p>
      <w:pPr>
        <w:pStyle w:val="Heading1"/>
        <w:spacing w:after="140" w:before="0"/>
      </w:pPr>
      <w:r>
        <w:rPr>
          <w:rFonts w:ascii="Calibri" w:cs="Calibri" w:eastAsia="Calibri" w:hAnsi="Calibri"/>
          <w:b/>
          <w:bCs/>
          <w:color w:val="8B1E1E"/>
        </w:rPr>
        <w:t xml:space="preserve">1. Executive Summary</w:t>
      </w:r>
    </w:p>
    <w:p>
      <w:pPr>
        <w:pStyle w:val="ListParagraph"/>
        <w:numPr>
          <w:ilvl w:val="0"/>
          <w:numId w:val="1"/>
        </w:numPr>
        <w:spacing w:after="100"/>
      </w:pPr>
      <w:r>
        <w:rPr>
          <w:rFonts w:ascii="Calibri" w:cs="Calibri" w:eastAsia="Calibri" w:hAnsi="Calibri"/>
          <w:b/>
          <w:bCs/>
          <w:sz w:val="21"/>
          <w:szCs w:val="21"/>
        </w:rPr>
        <w:t xml:space="preserve">Origin: </w:t>
      </w:r>
      <w:r>
        <w:rPr>
          <w:rFonts w:ascii="Calibri" w:cs="Calibri" w:eastAsia="Calibri" w:hAnsi="Calibri"/>
          <w:sz w:val="21"/>
          <w:szCs w:val="21"/>
        </w:rPr>
        <w:t xml:space="preserve">Launched on Pump.fun by an anonymous deployer wallet, </w:t>
      </w:r>
      <w:r>
        <w:rPr>
          <w:rFonts w:ascii="Consolas" w:cs="Consolas" w:eastAsia="Consolas" w:hAnsi="Consolas"/>
          <w:color w:val="333333"/>
          <w:sz w:val="18"/>
          <w:szCs w:val="18"/>
        </w:rPr>
        <w:t xml:space="preserve">yHCxHBEaJW5tbndqC8JciSThr7U1cqLpdcsvHcx6PRe</w:t>
      </w:r>
      <w:r>
        <w:rPr>
          <w:rFonts w:ascii="Calibri" w:cs="Calibri" w:eastAsia="Calibri" w:hAnsi="Calibri"/>
          <w:sz w:val="21"/>
          <w:szCs w:val="21"/>
        </w:rPr>
        <w:t xml:space="preserve">, around June 17, 2026. Named after — but not created or endorsed by — Solana trader Ansem (@blknoiz06).</w:t>
      </w:r>
    </w:p>
    <w:p>
      <w:pPr>
        <w:pStyle w:val="ListParagraph"/>
        <w:numPr>
          <w:ilvl w:val="0"/>
          <w:numId w:val="1"/>
        </w:numPr>
        <w:spacing w:after="100"/>
      </w:pPr>
      <w:r>
        <w:rPr>
          <w:rFonts w:ascii="Calibri" w:cs="Calibri" w:eastAsia="Calibri" w:hAnsi="Calibri"/>
          <w:b/>
          <w:bCs/>
          <w:sz w:val="21"/>
          <w:szCs w:val="21"/>
        </w:rPr>
        <w:t xml:space="preserve">Fixed supply, standard extensions: </w:t>
      </w:r>
      <w:r>
        <w:rPr>
          <w:rFonts w:ascii="Calibri" w:cs="Calibri" w:eastAsia="Calibri" w:hAnsi="Calibri"/>
          <w:sz w:val="21"/>
          <w:szCs w:val="21"/>
        </w:rPr>
        <w:t xml:space="preserve">The mint carries no transfer-fee, permanent-delegate, transfer-hook, or freeze-on-creation extensions. Only cosmetic metadata extensions are enabled, both with a null authority. </w:t>
      </w:r>
      <w:r>
        <w:rPr>
          <w:rFonts w:ascii="Calibri" w:cs="Calibri" w:eastAsia="Calibri" w:hAnsi="Calibri"/>
          <w:b/>
          <w:bCs/>
          <w:color w:val="1E7A34"/>
          <w:sz w:val="21"/>
          <w:szCs w:val="21"/>
        </w:rPr>
        <w:t xml:space="preserve">No on-chain buy/sell tax exists on this token.</w:t>
      </w:r>
    </w:p>
    <w:p>
      <w:pPr>
        <w:pStyle w:val="ListParagraph"/>
        <w:numPr>
          <w:ilvl w:val="0"/>
          <w:numId w:val="1"/>
        </w:numPr>
        <w:spacing w:after="100"/>
      </w:pPr>
      <w:r>
        <w:rPr>
          <w:rFonts w:ascii="Calibri" w:cs="Calibri" w:eastAsia="Calibri" w:hAnsi="Calibri"/>
          <w:b/>
          <w:bCs/>
          <w:sz w:val="21"/>
          <w:szCs w:val="21"/>
        </w:rPr>
        <w:t xml:space="preserve">Concentration: </w:t>
      </w:r>
      <w:r>
        <w:rPr>
          <w:rFonts w:ascii="Calibri" w:cs="Calibri" w:eastAsia="Calibri" w:hAnsi="Calibri"/>
          <w:sz w:val="21"/>
          <w:szCs w:val="21"/>
        </w:rPr>
        <w:t xml:space="preserve">~66.9% of tracked supply sits in the ten largest wallets. Of that, roughly 50.7 percentage points sit in three custodial/exchange wallets (BitGo, Hyperunit, MEXC) — none of it a locked treasury or vesting contract.</w:t>
      </w:r>
    </w:p>
    <w:p>
      <w:pPr>
        <w:pStyle w:val="ListParagraph"/>
        <w:numPr>
          <w:ilvl w:val="0"/>
          <w:numId w:val="1"/>
        </w:numPr>
        <w:spacing w:after="100"/>
      </w:pPr>
      <w:r>
        <w:rPr>
          <w:rFonts w:ascii="Calibri" w:cs="Calibri" w:eastAsia="Calibri" w:hAnsi="Calibri"/>
          <w:b/>
          <w:bCs/>
          <w:sz w:val="21"/>
          <w:szCs w:val="21"/>
        </w:rPr>
        <w:t xml:space="preserve">The "40% to Ansem" claim: </w:t>
      </w:r>
      <w:r>
        <w:rPr>
          <w:rFonts w:ascii="Calibri" w:cs="Calibri" w:eastAsia="Calibri" w:hAnsi="Calibri"/>
          <w:sz w:val="21"/>
          <w:szCs w:val="21"/>
        </w:rPr>
        <w:t xml:space="preserve">Not confirmed as stated — directly contradicted by cited transactions. The deployer transferred exactly 650,000,000 tokens (</w:t>
      </w:r>
      <w:r>
        <w:rPr>
          <w:rFonts w:ascii="Calibri" w:cs="Calibri" w:eastAsia="Calibri" w:hAnsi="Calibri"/>
          <w:b/>
          <w:bCs/>
          <w:sz w:val="21"/>
          <w:szCs w:val="21"/>
        </w:rPr>
        <w:t xml:space="preserve">65% of initial supply</w:t>
      </w:r>
      <w:r>
        <w:rPr>
          <w:rFonts w:ascii="Calibri" w:cs="Calibri" w:eastAsia="Calibri" w:hAnsi="Calibri"/>
          <w:sz w:val="21"/>
          <w:szCs w:val="21"/>
        </w:rPr>
        <w:t xml:space="preserve">) to "ansemconzimp" (GV6UU) in a single transaction at launch, and a fully transaction-traced chain shows that same 65% remains under one controlling party today, split between GV6UU and BitGo custody. See Section 5.</w:t>
      </w:r>
    </w:p>
    <w:p>
      <w:pPr>
        <w:pStyle w:val="ListParagraph"/>
        <w:numPr>
          <w:ilvl w:val="0"/>
          <w:numId w:val="1"/>
        </w:numPr>
        <w:spacing w:after="100"/>
      </w:pPr>
      <w:r>
        <w:rPr>
          <w:rFonts w:ascii="Calibri" w:cs="Calibri" w:eastAsia="Calibri" w:hAnsi="Calibri"/>
          <w:b/>
          <w:bCs/>
          <w:color w:val="B3261E"/>
          <w:sz w:val="21"/>
          <w:szCs w:val="21"/>
        </w:rPr>
        <w:t xml:space="preserve">Liquidity risk: </w:t>
      </w:r>
      <w:r>
        <w:rPr>
          <w:rFonts w:ascii="Calibri" w:cs="Calibri" w:eastAsia="Calibri" w:hAnsi="Calibri"/>
          <w:sz w:val="21"/>
          <w:szCs w:val="21"/>
        </w:rPr>
        <w:t xml:space="preserve">Total identified liquidity across all venues is ~$4.3M against a top wallet worth ~$84M at the same snapshot. Even combining the two largest pools, a sale of just 1% of the largest wallet's balance would move price roughly 51% downward. 99.39% of the largest pool's liquidity is reported locked, which limits (but does not eliminate) the risk.</w:t>
      </w:r>
    </w:p>
    <w:p>
      <w:pPr>
        <w:pStyle w:val="ListParagraph"/>
        <w:numPr>
          <w:ilvl w:val="0"/>
          <w:numId w:val="1"/>
        </w:numPr>
        <w:spacing w:after="100"/>
      </w:pPr>
      <w:r>
        <w:rPr>
          <w:rFonts w:ascii="Calibri" w:cs="Calibri" w:eastAsia="Calibri" w:hAnsi="Calibri"/>
          <w:b/>
          <w:bCs/>
          <w:sz w:val="21"/>
          <w:szCs w:val="21"/>
        </w:rPr>
        <w:t xml:space="preserve">Airdrop retention: </w:t>
      </w:r>
      <w:r>
        <w:rPr>
          <w:rFonts w:ascii="Calibri" w:cs="Calibri" w:eastAsia="Calibri" w:hAnsi="Calibri"/>
          <w:sz w:val="21"/>
          <w:szCs w:val="21"/>
        </w:rPr>
        <w:t xml:space="preserve">Of 71.83M tokens airdropped to 1,306 wallets, only 12.05% remains held. 61.6% of recipient wallets are now at a zero balance.</w:t>
      </w:r>
    </w:p>
    <w:p>
      <w:pPr>
        <w:pStyle w:val="Heading1"/>
        <w:spacing w:after="140" w:before="320"/>
      </w:pPr>
      <w:r>
        <w:rPr>
          <w:rFonts w:ascii="Calibri" w:cs="Calibri" w:eastAsia="Calibri" w:hAnsi="Calibri"/>
          <w:b/>
          <w:bCs/>
          <w:color w:val="8B1E1E"/>
        </w:rPr>
        <w:t xml:space="preserve">2. Origin &amp; Launch</w:t>
      </w:r>
    </w:p>
    <w:p>
      <w:pPr>
        <w:spacing w:after="160" w:before="0"/>
      </w:pPr>
      <w:r>
        <w:rPr>
          <w:rFonts w:ascii="Calibri" w:cs="Calibri" w:eastAsia="Calibri" w:hAnsi="Calibri"/>
          <w:sz w:val="21"/>
          <w:szCs w:val="21"/>
        </w:rPr>
        <w:t xml:space="preserve">The token was created on Pump.fun by a single deployer wallet. It was not launched by Ansem, and the deployer's identity remains anonymous.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Field</w:t>
            </w:r>
          </w:p>
        </w:tc>
        <w:tc>
          <w:tcPr>
            <w:tcW w:type="dxa" w:w="69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Value</w:t>
            </w:r>
          </w:p>
        </w:tc>
      </w:tr>
      <w:tr>
        <w:tc>
          <w:tcPr>
            <w:tcW w:type="dxa" w:w="2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Mint address</w:t>
            </w:r>
          </w:p>
        </w:tc>
        <w:tc>
          <w:tcPr>
            <w:tcW w:type="dxa" w:w="6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9cRCn9rGT8V2imeM2BaKs13yhMEais3ruM3rPvTGpump</w:t>
            </w:r>
          </w:p>
        </w:tc>
      </w:tr>
      <w:tr>
        <w:tc>
          <w:tcPr>
            <w:tcW w:type="dxa" w:w="2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Token name / symbol</w:t>
            </w:r>
          </w:p>
        </w:tc>
        <w:tc>
          <w:tcPr>
            <w:tcW w:type="dxa" w:w="6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"The Black Bull" / ANSEM</w:t>
            </w:r>
          </w:p>
        </w:tc>
      </w:tr>
      <w:tr>
        <w:tc>
          <w:tcPr>
            <w:tcW w:type="dxa" w:w="2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Deployer / creator wallet</w:t>
            </w:r>
          </w:p>
        </w:tc>
        <w:tc>
          <w:tcPr>
            <w:tcW w:type="dxa" w:w="6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yHCxHBEaJW5tbndqC8JciSThr7U1cqLpdcsvHcx6PRe</w:t>
            </w:r>
          </w:p>
        </w:tc>
      </w:tr>
      <w:tr>
        <w:tc>
          <w:tcPr>
            <w:tcW w:type="dxa" w:w="2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Launch mechanism</w:t>
            </w:r>
          </w:p>
        </w:tc>
        <w:tc>
          <w:tcPr>
            <w:tcW w:type="dxa" w:w="6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Pump.fun Token Mint Authority program (standard bonding-curve launch)</w:t>
            </w:r>
          </w:p>
        </w:tc>
      </w:tr>
      <w:tr>
        <w:tc>
          <w:tcPr>
            <w:tcW w:type="dxa" w:w="2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Launch date</w:t>
            </w:r>
          </w:p>
        </w:tc>
        <w:tc>
          <w:tcPr>
            <w:tcW w:type="dxa" w:w="6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June 16, 2026, 21:06:25 UTC (block 426930558)</w:t>
            </w:r>
          </w:p>
        </w:tc>
      </w:tr>
      <w:tr>
        <w:tc>
          <w:tcPr>
            <w:tcW w:type="dxa" w:w="2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Total supply at launch</w:t>
            </w:r>
          </w:p>
        </w:tc>
        <w:tc>
          <w:tcPr>
            <w:tcW w:type="dxa" w:w="6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1,000,000,000 (pump.fun standard fixed issuance)</w:t>
            </w:r>
          </w:p>
        </w:tc>
      </w:tr>
      <w:tr>
        <w:tc>
          <w:tcPr>
            <w:tcW w:type="dxa" w:w="2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Current supply (snapshot)</w:t>
            </w:r>
          </w:p>
        </w:tc>
        <w:tc>
          <w:tcPr>
            <w:tcW w:type="dxa" w:w="6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997,362,342.620018 — ~0.26% below initial issuance, consistent with routine burns</w:t>
            </w:r>
          </w:p>
        </w:tc>
      </w:tr>
      <w:tr>
        <w:tc>
          <w:tcPr>
            <w:tcW w:type="dxa" w:w="2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Holder count (snapshot)</w:t>
            </w:r>
          </w:p>
        </w:tc>
        <w:tc>
          <w:tcPr>
            <w:tcW w:type="dxa" w:w="6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142,770 — inflated by dust/zero-value airdrop recipients; see Section 7</w:t>
            </w:r>
          </w:p>
        </w:tc>
      </w:tr>
    </w:tbl>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solscan.io/token/9cRCn9rGT8V2imeM2BaKs13yhMEais3ruM3rPvTGpump — Metadata &amp; overview tabs, screenshot Sep 22 2026 04:31 UTC. Creator field independently confirmed by analyst.</w:t>
      </w:r>
    </w:p>
    <w:p>
      <w:pPr>
        <w:spacing w:after="160" w:before="0"/>
      </w:pPr>
      <w:r>
        <w:rPr>
          <w:rFonts w:ascii="Calibri" w:cs="Calibri" w:eastAsia="Calibri" w:hAnsi="Calibri"/>
          <w:sz w:val="21"/>
          <w:szCs w:val="21"/>
        </w:rPr>
        <w:t xml:space="preserve">Per public on-chain reporting from Lookonchain (widely syndicated: The Defiant, AMBCrypto, Bitget, Phemex, CoinEdition — see Section 8), the deployer spent approximately $6,300 to launch the token and bought 792.45M ANSEM on the bonding curve. It then sold the remaining 142.45M for approximately $11,800 — a net realized profit of roughly $5,500 for the deployer, despite the token later reaching a market cap above $120M.</w:t>
      </w:r>
    </w:p>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Lookonchain monitoring, syndicated via thedefiant.io/news/defi/ansem-airdrops-usd7m..., ambcrypto.com/ansem-deployer-sends-60..., coinedition.com/how-a-solana-meme-coin...</w:t>
      </w:r>
    </w:p>
    <w:p>
      <w:pPr>
        <w:spacing w:after="160" w:before="0"/>
      </w:pPr>
      <w:r>
        <w:rPr>
          <w:rFonts w:ascii="Calibri" w:cs="Calibri" w:eastAsia="Calibri" w:hAnsi="Calibri"/>
          <w:b/>
          <w:bCs/>
          <w:color w:val="1E7A34"/>
          <w:sz w:val="21"/>
          <w:szCs w:val="21"/>
        </w:rPr>
        <w:t xml:space="preserve">The 650M transfer, independently re-traced: </w:t>
      </w:r>
      <w:r>
        <w:rPr>
          <w:rFonts w:ascii="Calibri" w:cs="Calibri" w:eastAsia="Calibri" w:hAnsi="Calibri"/>
          <w:sz w:val="21"/>
          <w:szCs w:val="21"/>
        </w:rPr>
        <w:t xml:space="preserve">In the same transaction that created its token account, the deployer wallet transferred 650,000,000 ANSEM (~65% of initial supply) directly to a token account owned by </w:t>
      </w:r>
      <w:r>
        <w:rPr>
          <w:rFonts w:ascii="Consolas" w:cs="Consolas" w:eastAsia="Consolas" w:hAnsi="Consolas"/>
          <w:color w:val="333333"/>
          <w:sz w:val="18"/>
          <w:szCs w:val="18"/>
        </w:rPr>
        <w:t xml:space="preserve">GV6UUmNxz2RpKxmNAPadYKb7uQpszwqQAu3qLJxVdC52</w:t>
      </w:r>
      <w:r>
        <w:rPr>
          <w:rFonts w:ascii="Calibri" w:cs="Calibri" w:eastAsia="Calibri" w:hAnsi="Calibri"/>
          <w:sz w:val="21"/>
          <w:szCs w:val="21"/>
        </w:rPr>
        <w:t xml:space="preserve"> — publicly known as "ansemconzimp" on Pump.fun. This is a fully independent, transaction-level confirmation of the press-reported figure, not a secondhand claim.</w:t>
      </w:r>
    </w:p>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Transaction signature 5SGKQKgDfKYRv8XerDKWWEycXpz44JCdThmm4Rx6FzuaJujoGRhyYWf1dCVdakkHZPSeKTy3R9KgAR9TNfmEB3Db, block 426930558, Jun 16 2026 21:06:25 UTC. solscan.io/tx/5SGKQKgDfKYRv8XerDKWWEycXpz44JCdThmm4Rx6FzuaJujoGRhyYWf1dCVdakkHZPSeKTy3R9KgAR9TNfmEB3Db, screenshot Sep 22 2026.</w:t>
      </w:r>
    </w:p>
    <w:p>
      <w:pPr>
        <w:spacing w:after="160" w:before="0"/>
      </w:pPr>
      <w:r>
        <w:rPr>
          <w:rFonts w:ascii="Calibri" w:cs="Calibri" w:eastAsia="Calibri" w:hAnsi="Calibri"/>
          <w:sz w:val="21"/>
          <w:szCs w:val="21"/>
        </w:rPr>
        <w:t xml:space="preserve">Ansem has publicly framed his subsequent activity as redistributing Pump.fun creator fees earned on the token back to holders via airdrops, rather than as a personal token sale, with a stated goal of reaching 1,000,000 holders.</w:t>
      </w:r>
    </w:p>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x.com/blknoiz06/status/2070871430191800832 — "...i will airdrop portions of the creator fees that have been directed to my pump fun profile..."</w:t>
      </w:r>
    </w:p>
    <w:p>
      <w:pPr>
        <w:pStyle w:val="Heading1"/>
        <w:spacing w:after="140" w:before="320"/>
      </w:pPr>
      <w:r>
        <w:rPr>
          <w:rFonts w:ascii="Calibri" w:cs="Calibri" w:eastAsia="Calibri" w:hAnsi="Calibri"/>
          <w:b/>
          <w:bCs/>
          <w:color w:val="8B1E1E"/>
        </w:rPr>
        <w:t xml:space="preserve">3. Token Program, Authorities &amp; Tax Check</w:t>
      </w:r>
    </w:p>
    <w:p>
      <w:pPr>
        <w:spacing w:after="160" w:before="0"/>
      </w:pPr>
      <w:r>
        <w:rPr>
          <w:rFonts w:ascii="Calibri" w:cs="Calibri" w:eastAsia="Calibri" w:hAnsi="Calibri"/>
          <w:sz w:val="21"/>
          <w:szCs w:val="21"/>
        </w:rPr>
        <w:t xml:space="preserve">This is a Solana Token-2022 ("Token Extensions") mint, not a legacy SPL Token — confirmed by its owner program address.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120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Item</w:t>
            </w:r>
          </w:p>
        </w:tc>
        <w:tc>
          <w:tcPr>
            <w:tcW w:type="dxa" w:w="49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Status</w:t>
            </w:r>
          </w:p>
        </w:tc>
        <w:tc>
          <w:tcPr>
            <w:tcW w:type="dxa" w:w="12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Verdict</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Owner program</w:t>
            </w:r>
          </w:p>
        </w:tc>
        <w:tc>
          <w:tcPr>
            <w:tcW w:type="dxa" w:w="4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TokenzQdBNbLqP5VEhdkAS6EPFLC1PHnBqCXEpPxuEb (Token-2022 / Token Extensions Program)</w:t>
            </w:r>
          </w:p>
        </w:tc>
        <w:tc>
          <w:tcPr>
            <w:tcW w:type="dxa" w:w="1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Mint / update authority</w:t>
            </w:r>
          </w:p>
        </w:tc>
        <w:tc>
          <w:tcPr>
            <w:tcW w:type="dxa" w:w="4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"N/A" on token overview panel; metadataPointer and tokenMetadata extension authorities both explicitly NULL</w:t>
            </w:r>
          </w:p>
        </w:tc>
        <w:tc>
          <w:tcPr>
            <w:tcW w:type="dxa" w:w="12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sz w:val="19"/>
                <w:szCs w:val="19"/>
              </w:rPr>
              <w:t xml:space="preserve">Consistent with pump.fun standard (mint authority revoked at launch)</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Freeze authority</w:t>
            </w:r>
          </w:p>
        </w:tc>
        <w:tc>
          <w:tcPr>
            <w:tcW w:type="dxa" w:w="4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No freeze authority / DefaultAccountState extension present in the Extensions table</w:t>
            </w:r>
          </w:p>
        </w:tc>
        <w:tc>
          <w:tcPr>
            <w:tcW w:type="dxa" w:w="12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sz w:val="19"/>
                <w:szCs w:val="19"/>
              </w:rPr>
              <w:t xml:space="preserve">Consistent with revoked freeze authority</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Permanent Delegate extension</w:t>
            </w:r>
          </w:p>
        </w:tc>
        <w:tc>
          <w:tcPr>
            <w:tcW w:type="dxa" w:w="4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Not present in the Extensions (Table view) for this mint</w:t>
            </w:r>
          </w:p>
        </w:tc>
        <w:tc>
          <w:tcPr>
            <w:tcW w:type="dxa" w:w="12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sz w:val="19"/>
                <w:szCs w:val="19"/>
              </w:rPr>
              <w:t xml:space="preserve">Absent</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Transfer Hook extension</w:t>
            </w:r>
          </w:p>
        </w:tc>
        <w:tc>
          <w:tcPr>
            <w:tcW w:type="dxa" w:w="4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Not present</w:t>
            </w:r>
          </w:p>
        </w:tc>
        <w:tc>
          <w:tcPr>
            <w:tcW w:type="dxa" w:w="12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sz w:val="19"/>
                <w:szCs w:val="19"/>
              </w:rPr>
              <w:t xml:space="preserve">Absent</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Transfer Fee (tax) extension</w:t>
            </w:r>
          </w:p>
        </w:tc>
        <w:tc>
          <w:tcPr>
            <w:tcW w:type="dxa" w:w="4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Not present — only metadataPointer and tokenMetadata extensions are enabled, both cosmetic</w:t>
            </w:r>
          </w:p>
        </w:tc>
        <w:tc>
          <w:tcPr>
            <w:tcW w:type="dxa" w:w="12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b/>
                <w:bCs/>
                <w:color w:val="1E7A34"/>
                <w:sz w:val="19"/>
                <w:szCs w:val="19"/>
              </w:rPr>
              <w:t xml:space="preserve">NO TAX</w:t>
            </w:r>
          </w:p>
        </w:tc>
      </w:tr>
    </w:tbl>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solscan.io/token/9cRCn9rGT8V2imeM2BaKs13yhMEais3ruM3rPvTGpump#metadata_extensions — Extensions (Table) tab, screenshot Sep 22 2026 04:31 UTC. Only two extension sections are listed: metadataPointer (authority: NULL) and tokenMetadata (updateAuthority: NULL).</w:t>
      </w:r>
    </w:p>
    <w:p>
      <w:pPr>
        <w:spacing w:after="160" w:before="0"/>
      </w:pPr>
      <w:r>
        <w:rPr>
          <w:rFonts w:ascii="Calibri" w:cs="Calibri" w:eastAsia="Calibri" w:hAnsi="Calibri"/>
          <w:b/>
          <w:bCs/>
          <w:sz w:val="20"/>
          <w:szCs w:val="20"/>
        </w:rPr>
        <w:t xml:space="preserve">A note on methodology: </w:t>
      </w:r>
      <w:r>
        <w:rPr>
          <w:rFonts w:ascii="Calibri" w:cs="Calibri" w:eastAsia="Calibri" w:hAnsi="Calibri"/>
          <w:sz w:val="20"/>
          <w:szCs w:val="20"/>
        </w:rPr>
        <w:t xml:space="preserve">an earlier pass over this wallet's transaction history surfaced a </w:t>
      </w:r>
      <w:r>
        <w:rPr>
          <w:rFonts w:ascii="Consolas" w:cs="Consolas" w:eastAsia="Consolas" w:hAnsi="Consolas"/>
          <w:color w:val="333333"/>
          <w:sz w:val="18"/>
          <w:szCs w:val="18"/>
        </w:rPr>
        <w:t xml:space="preserve">harvestWithheld</w:t>
      </w:r>
      <w:r>
        <w:rPr>
          <w:rFonts w:ascii="Calibri" w:cs="Calibri" w:eastAsia="Calibri" w:hAnsi="Calibri"/>
          <w:sz w:val="20"/>
          <w:szCs w:val="20"/>
        </w:rPr>
        <w:t xml:space="preserve"> action, which is the Token-2022 instruction used to sweep TransferFeeConfig withholdings. That action appeared in a multi-token wallet's history and, on closer inspection of the ANSEM mint's own Extensions table, does not belong to this mint — the ANSEM mint carries no TransferFeeConfig extension at all. It is flagged here so the discrepancy is documented rather than silently dropped: the initial signal was a false positive traced to a different token held by the same wallet, not to $ANSEM.</w:t>
      </w:r>
    </w:p>
    <w:p>
      <w:pPr>
        <w:spacing w:after="160" w:before="0"/>
      </w:pPr>
      <w:r>
        <w:rPr>
          <w:rFonts w:ascii="Calibri" w:cs="Calibri" w:eastAsia="Calibri" w:hAnsi="Calibri"/>
          <w:b/>
          <w:bCs/>
          <w:color w:val="1E7A34"/>
          <w:sz w:val="21"/>
          <w:szCs w:val="21"/>
        </w:rPr>
        <w:t xml:space="preserve">Confirmed and cleared: </w:t>
      </w:r>
      <w:r>
        <w:rPr>
          <w:rFonts w:ascii="Calibri" w:cs="Calibri" w:eastAsia="Calibri" w:hAnsi="Calibri"/>
          <w:b/>
          <w:bCs/>
          <w:sz w:val="21"/>
          <w:szCs w:val="21"/>
        </w:rPr>
        <w:t xml:space="preserve">$ANSEM carries no on-chain buy or sell tax.</w:t>
      </w:r>
    </w:p>
    <w:p>
      <w:pPr>
        <w:pStyle w:val="Heading1"/>
        <w:spacing w:after="140" w:before="320"/>
      </w:pPr>
      <w:r>
        <w:rPr>
          <w:rFonts w:ascii="Calibri" w:cs="Calibri" w:eastAsia="Calibri" w:hAnsi="Calibri"/>
          <w:b/>
          <w:bCs/>
          <w:color w:val="8B1E1E"/>
        </w:rPr>
        <w:t xml:space="preserve">4. Supply Distribution — Top Holders</w:t>
      </w:r>
    </w:p>
    <w:p>
      <w:pPr>
        <w:spacing w:after="160" w:before="0"/>
      </w:pPr>
      <w:r>
        <w:rPr>
          <w:rFonts w:ascii="Calibri" w:cs="Calibri" w:eastAsia="Calibri" w:hAnsi="Calibri"/>
          <w:sz w:val="21"/>
          <w:szCs w:val="21"/>
        </w:rPr>
        <w:t xml:space="preserve">Top 10 wallet balances by owner (aggregated across all token accounts per owner), pulled September 21, 2026. Percentages are of tracked circulating supply (~997.4M) at that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300"/>
        <w:gridCol w:w="3000"/>
      </w:tblGrid>
      <w:tr>
        <w:trPr>
          <w:tblHeader/>
        </w:trPr>
        <w:tc>
          <w:tcPr>
            <w:tcW w:type="dxa" w:w="5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w:t>
            </w:r>
          </w:p>
        </w:tc>
        <w:tc>
          <w:tcPr>
            <w:tcW w:type="dxa" w:w="42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Wallet</w:t>
            </w:r>
          </w:p>
        </w:tc>
        <w:tc>
          <w:tcPr>
            <w:tcW w:type="dxa" w:w="13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 Supply</w:t>
            </w:r>
          </w:p>
        </w:tc>
        <w:tc>
          <w:tcPr>
            <w:tcW w:type="dxa" w:w="30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Category</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7oU9nR9VEvFPwvp2PpXo2LQc6A92QRhcUTwhLWT7MsDM</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49.08%</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Custody — BitGo ("Ansem Bitgo Custodial" tag; funded from a Coinbase wallet)</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GV6UUmNxz2RpKxmNAPadYKb7uQpszwqQAu3qLJxVdC52</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9.14%</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Active trading wallet ("ansemconzimp" on Pump.fun; tagged via a Lookonchain tweet); holds 5,000+ other token positions</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3</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87ZDLDDbMAqmHJwsAgNjpJVCf9gZvwMJJMbFbXNTrkva</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2.38%</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Unlabeled</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4</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2ozxuSn8UhZ1ZsoZJvmmY65GBPpyZ7sAHzogpVcn4Yam</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2.20%</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Unlabeled ("treebeard.sol"); wallet predates the token by 3+ years</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5</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9SLPTL41SPsYkgdsMzdfJsxymEANKr5bYoBsQzJyKpKS</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1.23%</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Custody — Hyperunit (bridge/exchange hot wallet)</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6</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CLM6E4zpTviEC77nWKogpVLQoXx9tgoQCYJ8NibxKg1Q</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0.90%</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Unlabeled</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7</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HCgo8gvk99Wk13XWbbAoyxyEx2DgzidzVDma4ny32uYC</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0.42%</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Unlabeled</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8</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ASTyfSima4LLAdDgoFGkgqoKowG1LZFDr9fAQrg7iaJZ</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0.42%</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Custody — MEXC exchange hot wallet (holds 5,000+ distinct token types; general deposit wallet, not ANSEM-specific)</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9</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8mVv6jHupEmLGcgEQyWbAq7rKUx6svKKFoJqnPcbneQW</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0.39%</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Unlabeled</w:t>
            </w:r>
          </w:p>
        </w:tc>
      </w:tr>
      <w:tr>
        <w:tc>
          <w:tcPr>
            <w:tcW w:type="dxa" w:w="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w:t>
            </w:r>
          </w:p>
        </w:tc>
        <w:tc>
          <w:tcPr>
            <w:tcW w:type="dxa" w:w="4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FnzKY6x7entQ1eR3D225dQyT7ybfka4PskBMQhb8L3CC</w:t>
            </w:r>
          </w:p>
        </w:tc>
        <w:tc>
          <w:tcPr>
            <w:tcW w:type="dxa" w:w="13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0.76%</w:t>
            </w:r>
          </w:p>
        </w:tc>
        <w:tc>
          <w:tcPr>
            <w:tcW w:type="dxa" w:w="3000"/>
            <w:tcBorders>
              <w:top w:val="single" w:color="CCCCCC" w:sz="2"/>
              <w:left w:val="single" w:color="CCCCCC" w:sz="2"/>
              <w:bottom w:val="single" w:color="CCCCCC" w:sz="2"/>
              <w:right w:val="single" w:color="CCCCCC" w:sz="2"/>
            </w:tcBorders>
            <w:shd w:fill="F2F2F2" w:val="clear"/>
            <w:tcMar>
              <w:top w:type="dxa" w:w="70"/>
              <w:left w:type="dxa" w:w="100"/>
              <w:bottom w:type="dxa" w:w="70"/>
              <w:right w:type="dxa" w:w="100"/>
            </w:tcMar>
          </w:tcPr>
          <w:p>
            <w:r>
              <w:rPr>
                <w:rFonts w:ascii="Calibri" w:cs="Calibri" w:eastAsia="Calibri" w:hAnsi="Calibri"/>
                <w:sz w:val="19"/>
                <w:szCs w:val="19"/>
              </w:rPr>
              <w:t xml:space="preserve">Pump.fun AMM (ANSEM-WSOL) liquidity pool — excluded from holder ranking; see Section 6</w:t>
            </w:r>
          </w:p>
        </w:tc>
      </w:tr>
    </w:tbl>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Dune query on tokens_solana.transfers (account-level balances), executed Sep 21 2026. Wallet labels and tags cross-checked at solscan.io/account/&lt;address&gt; for each address listed, screenshots Sep 21-22 2026.</w:t>
      </w:r>
    </w:p>
    <w:p>
      <w:pPr>
        <w:spacing w:after="160" w:before="0"/>
      </w:pPr>
      <w:r>
        <w:rPr>
          <w:rFonts w:ascii="Calibri" w:cs="Calibri" w:eastAsia="Calibri" w:hAnsi="Calibri"/>
          <w:b/>
          <w:bCs/>
          <w:sz w:val="21"/>
          <w:szCs w:val="21"/>
        </w:rPr>
        <w:t xml:space="preserve">Custody rollup: </w:t>
      </w:r>
      <w:r>
        <w:rPr>
          <w:rFonts w:ascii="Calibri" w:cs="Calibri" w:eastAsia="Calibri" w:hAnsi="Calibri"/>
          <w:sz w:val="21"/>
          <w:szCs w:val="21"/>
        </w:rPr>
        <w:t xml:space="preserve">BitGo (49.08%) + Hyperunit (1.23%) + MEXC (0.42%) = </w:t>
      </w:r>
      <w:r>
        <w:rPr>
          <w:rFonts w:ascii="Calibri" w:cs="Calibri" w:eastAsia="Calibri" w:hAnsi="Calibri"/>
          <w:b/>
          <w:bCs/>
          <w:sz w:val="21"/>
          <w:szCs w:val="21"/>
        </w:rPr>
        <w:t xml:space="preserve">50.73% of supply sits in institutional custody or exchange hot wallets</w:t>
      </w:r>
      <w:r>
        <w:rPr>
          <w:rFonts w:ascii="Calibri" w:cs="Calibri" w:eastAsia="Calibri" w:hAnsi="Calibri"/>
          <w:sz w:val="21"/>
          <w:szCs w:val="21"/>
        </w:rPr>
        <w:t xml:space="preserve"> — none of it in a Squads multisig, a vesting/locker program (e.g. Streamflow, Jupiter Lock), or a disclosed project treasury. No multisig-controlled holding of any kind was identified among the top 10 wallets; every top-10 wallet is either a single-signer keypair (isOnCurve: TRUE on Solscan for all of them) or the AMM pool's program-owned vault.</w:t>
      </w:r>
    </w:p>
    <w:p>
      <w:pPr>
        <w:pStyle w:val="Heading1"/>
        <w:spacing w:after="140" w:before="320"/>
      </w:pPr>
      <w:r>
        <w:rPr>
          <w:rFonts w:ascii="Calibri" w:cs="Calibri" w:eastAsia="Calibri" w:hAnsi="Calibri"/>
          <w:b/>
          <w:bCs/>
          <w:color w:val="8B1E1E"/>
        </w:rPr>
        <w:t xml:space="preserve">5. The "40% to Ansem" Claim — Verification</w:t>
      </w:r>
    </w:p>
    <w:p>
      <w:pPr>
        <w:spacing w:after="160" w:before="0"/>
      </w:pPr>
      <w:r>
        <w:rPr>
          <w:rFonts w:ascii="Calibri" w:cs="Calibri" w:eastAsia="Calibri" w:hAnsi="Calibri"/>
          <w:b/>
          <w:bCs/>
          <w:sz w:val="21"/>
          <w:szCs w:val="21"/>
        </w:rPr>
        <w:t xml:space="preserve">Claim under review: </w:t>
      </w:r>
      <w:r>
        <w:rPr>
          <w:rFonts w:ascii="Calibri" w:cs="Calibri" w:eastAsia="Calibri" w:hAnsi="Calibri"/>
          <w:i/>
          <w:iCs/>
          <w:sz w:val="21"/>
          <w:szCs w:val="21"/>
        </w:rPr>
        <w:t xml:space="preserve">"40% of supply was sent to Ansem himself." — unverified, sourced from a third party, not from on-chain data or a cited report.</w:t>
      </w:r>
    </w:p>
    <w:p>
      <w:pPr>
        <w:spacing w:after="160" w:before="0"/>
      </w:pPr>
      <w:r>
        <w:rPr>
          <w:rFonts w:ascii="Calibri" w:cs="Calibri" w:eastAsia="Calibri" w:hAnsi="Calibri"/>
          <w:b/>
          <w:bCs/>
          <w:color w:val="8B1E1E"/>
          <w:sz w:val="21"/>
          <w:szCs w:val="21"/>
        </w:rPr>
        <w:t xml:space="preserve">Verdict: </w:t>
      </w:r>
      <w:r>
        <w:rPr>
          <w:rFonts w:ascii="Calibri" w:cs="Calibri" w:eastAsia="Calibri" w:hAnsi="Calibri"/>
          <w:sz w:val="21"/>
          <w:szCs w:val="21"/>
        </w:rPr>
        <w:t xml:space="preserve">Not confirmed as stated. The true figure, confirmed at the transaction level, is 65% — materially higher than the claim, not lower.</w:t>
      </w:r>
    </w:p>
    <w:p>
      <w:pPr>
        <w:pStyle w:val="ListParagraph"/>
        <w:numPr>
          <w:ilvl w:val="0"/>
          <w:numId w:val="1"/>
        </w:numPr>
        <w:spacing w:after="100"/>
      </w:pPr>
      <w:r>
        <w:rPr>
          <w:rFonts w:ascii="Calibri" w:cs="Calibri" w:eastAsia="Calibri" w:hAnsi="Calibri"/>
          <w:b/>
          <w:bCs/>
          <w:color w:val="1E7A34"/>
          <w:sz w:val="21"/>
          <w:szCs w:val="21"/>
        </w:rPr>
        <w:t xml:space="preserve">Transaction-level confirmation: </w:t>
      </w:r>
      <w:r>
        <w:rPr>
          <w:rFonts w:ascii="Calibri" w:cs="Calibri" w:eastAsia="Calibri" w:hAnsi="Calibri"/>
          <w:sz w:val="21"/>
          <w:szCs w:val="21"/>
        </w:rPr>
        <w:t xml:space="preserve">650,000,000 ANSEM — exactly 65% of the 1,000,000,000 initial supply — was transferred from the deployer wallet directly to "ansemconzimp" (GV6UU) in a single transaction at token launch. Signature and citation in Section 2.</w:t>
      </w:r>
    </w:p>
    <w:p>
      <w:pPr>
        <w:pStyle w:val="ListParagraph"/>
        <w:numPr>
          <w:ilvl w:val="0"/>
          <w:numId w:val="1"/>
        </w:numPr>
        <w:spacing w:after="100"/>
      </w:pPr>
      <w:r>
        <w:rPr>
          <w:rFonts w:ascii="Calibri" w:cs="Calibri" w:eastAsia="Calibri" w:hAnsi="Calibri"/>
          <w:b/>
          <w:bCs/>
          <w:sz w:val="21"/>
          <w:szCs w:val="21"/>
        </w:rPr>
        <w:t xml:space="preserve">Where that 650M is now: </w:t>
      </w:r>
      <w:r>
        <w:rPr>
          <w:rFonts w:ascii="Calibri" w:cs="Calibri" w:eastAsia="Calibri" w:hAnsi="Calibri"/>
          <w:sz w:val="21"/>
          <w:szCs w:val="21"/>
        </w:rPr>
        <w:t xml:space="preserve">GV6UU's holding in that same token account has since fallen from 650,000,000 to 91,430,812.46 — a ~558.6M outflow. This reconciles almost exactly against two known destinations: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Line item</w:t>
            </w:r>
          </w:p>
        </w:tc>
        <w:tc>
          <w:tcPr>
            <w:tcW w:type="dxa" w:w="45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Amount</w:t>
            </w:r>
          </w:p>
        </w:tc>
      </w:tr>
      <w:tr>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Received June 16, 2026</w:t>
            </w:r>
          </w:p>
        </w:tc>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650,000,000</w:t>
            </w:r>
          </w:p>
        </w:tc>
      </w:tr>
      <w:tr>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 To BitGo custodial wallet, July 31, 2026 (exact match to that wallet's first-ever ANSEM inflow)</w:t>
            </w:r>
          </w:p>
        </w:tc>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491,000,100</w:t>
            </w:r>
          </w:p>
        </w:tc>
      </w:tr>
      <w:tr>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 Publicly disclosed community airdrops (Lookonchain, by late June)</w:t>
            </w:r>
          </w:p>
        </w:tc>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67,380,000</w:t>
            </w:r>
          </w:p>
        </w:tc>
      </w:tr>
      <w:tr>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 Implied remaining balance</w:t>
            </w:r>
          </w:p>
        </w:tc>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91,619,900</w:t>
            </w:r>
          </w:p>
        </w:tc>
      </w:tr>
      <w:tr>
        <w:tc>
          <w:tcPr>
            <w:tcW w:type="dxa" w:w="4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Actual current balance (this snapshot)</w:t>
            </w:r>
          </w:p>
        </w:tc>
        <w:tc>
          <w:tcPr>
            <w:tcW w:type="dxa" w:w="45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b/>
                <w:bCs/>
                <w:sz w:val="19"/>
                <w:szCs w:val="19"/>
              </w:rPr>
              <w:t xml:space="preserve">91,430,812 — within 0.03% of the implied figure</w:t>
            </w:r>
          </w:p>
        </w:tc>
      </w:tr>
    </w:tbl>
    <w:p>
      <w:pPr>
        <w:spacing w:after="160" w:before="0"/>
      </w:pPr>
      <w:r>
        <w:rPr>
          <w:rFonts w:ascii="Calibri" w:cs="Calibri" w:eastAsia="Calibri" w:hAnsi="Calibri"/>
          <w:b/>
          <w:bCs/>
          <w:color w:val="1E7A34"/>
          <w:sz w:val="21"/>
          <w:szCs w:val="21"/>
        </w:rPr>
        <w:t xml:space="preserve">This arithmetic match is confirmed by direct transaction evidence: GV6UU moved exactly 491,000,100 ANSEM into the BitGo custodial wallet across three transactions on July 31–August 1, 2026. </w:t>
      </w:r>
      <w:r>
        <w:rPr>
          <w:rFonts w:ascii="Calibri" w:cs="Calibri" w:eastAsia="Calibri" w:hAnsi="Calibri"/>
          <w:b/>
          <w:bCs/>
          <w:sz w:val="21"/>
          <w:szCs w:val="21"/>
        </w:rPr>
        <w:t xml:space="preserve">The full 65% traces to a single original transfer and a single controlling party</w:t>
      </w:r>
      <w:r>
        <w:rPr>
          <w:rFonts w:ascii="Calibri" w:cs="Calibri" w:eastAsia="Calibri" w:hAnsi="Calibri"/>
          <w:sz w:val="21"/>
          <w:szCs w:val="21"/>
        </w:rPr>
        <w:t xml:space="preserve"> — GV6UU ("ansemconzimp") received 650,000,000 ANSEM at launch, then routed 491,000,100 of it into institutional custody and at least 67,380,000 into public airdrops, retaining the remainder.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Date (UTC)</w:t>
            </w:r>
          </w:p>
        </w:tc>
        <w:tc>
          <w:tcPr>
            <w:tcW w:type="dxa" w:w="52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Signature</w:t>
            </w:r>
          </w:p>
        </w:tc>
        <w:tc>
          <w:tcPr>
            <w:tcW w:type="dxa" w:w="14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Amount</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2026-07-31 22:54:39</w:t>
            </w:r>
          </w:p>
        </w:tc>
        <w:tc>
          <w:tcPr>
            <w:tcW w:type="dxa" w:w="5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4Le71wYNeerAG3efwCxkhWt4iw9KBn7Y8Z1uuC5day77UNSQv9WW6AZZkfjQ8AXqbVswPHYzfNjsu5BPuZMupRoY</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100</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2026-08-01 00:03:32</w:t>
            </w:r>
          </w:p>
        </w:tc>
        <w:tc>
          <w:tcPr>
            <w:tcW w:type="dxa" w:w="5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3LPvUbShXN6vvy9k7zjnaQWcCoAbVhkciSa4EvydcBtknxdsh7oBUJN1wrQ3AAE2pB6zxqNDPRCEPWnZZqvmngRw</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1,000,000</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2026-08-01 00:09:38</w:t>
            </w:r>
          </w:p>
        </w:tc>
        <w:tc>
          <w:tcPr>
            <w:tcW w:type="dxa" w:w="5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4mKqcX4taUZsv3v8aDmYEacW3HwQfjX7z96LxxUUMmRU47XKfZ23X8ps8pQJFUHCt9NAZfpG6mC6emHzH4NSrJC9</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490,000,000</w:t>
            </w:r>
          </w:p>
        </w:tc>
      </w:tr>
      <w:tr>
        <w:tc>
          <w:tcPr>
            <w:tcW w:type="dxa" w:w="2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Total</w:t>
            </w:r>
          </w:p>
        </w:tc>
        <w:tc>
          <w:tcPr>
            <w:tcW w:type="dxa" w:w="5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
            </w:r>
          </w:p>
        </w:tc>
        <w:tc>
          <w:tcPr>
            <w:tcW w:type="dxa" w:w="14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b/>
                <w:bCs/>
                <w:sz w:val="19"/>
                <w:szCs w:val="19"/>
              </w:rPr>
              <w:t xml:space="preserve">491,000,100</w:t>
            </w:r>
          </w:p>
        </w:tc>
      </w:tr>
    </w:tbl>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GV6UU token account balance: solscan.io/account/2U9XFtekYTstzMYXmuyDCNdFxRYB91dMtSKxtUB5rVct. Transfer chain confirmed via Dune query on tokens_solana.transfers filtering from_owner IN (GV6UU, its token account) AND to_owner = 7oU9nR9VEvFPwvp2PpXo2LQc6A92QRhcUTwhLWT7MsDM, executed Sep 22 2026. Airdrop total: x.com/lookonchain/status/2071755661160202578 and thedefiant.io/news/defi/ansem-airdrops-usd7m...</w:t>
      </w:r>
    </w:p>
    <w:p>
      <w:pPr>
        <w:spacing w:after="160" w:before="0"/>
      </w:pPr>
      <w:r>
        <w:rPr>
          <w:rFonts w:ascii="Calibri" w:cs="Calibri" w:eastAsia="Calibri" w:hAnsi="Calibri"/>
          <w:b/>
          <w:bCs/>
          <w:sz w:val="21"/>
          <w:szCs w:val="21"/>
        </w:rPr>
        <w:t xml:space="preserve">Bottom line: </w:t>
      </w:r>
      <w:r>
        <w:rPr>
          <w:rFonts w:ascii="Calibri" w:cs="Calibri" w:eastAsia="Calibri" w:hAnsi="Calibri"/>
          <w:sz w:val="21"/>
          <w:szCs w:val="21"/>
        </w:rPr>
        <w:t xml:space="preserve">the 40% figure is directly contradicted by cited on-chain transactions. The confirmed figure is 65% at the point of original transfer (650M/1B), and the full 65% is confirmed — via three cited transaction signatures — to remain under the control of a single party today, split between the GV6UU wallet and BitGo custody. Recommend citing 65% in place of the 40% claim.</w:t>
      </w:r>
    </w:p>
    <w:p>
      <w:pPr>
        <w:pStyle w:val="Heading1"/>
        <w:spacing w:after="140" w:before="320"/>
      </w:pPr>
      <w:r>
        <w:rPr>
          <w:rFonts w:ascii="Calibri" w:cs="Calibri" w:eastAsia="Calibri" w:hAnsi="Calibri"/>
          <w:b/>
          <w:bCs/>
          <w:color w:val="8B1E1E"/>
        </w:rPr>
        <w:t xml:space="preserve">6. Liquidity &amp; Sell-Pressure Risk</w:t>
      </w:r>
    </w:p>
    <w:p>
      <w:pPr>
        <w:spacing w:after="160" w:before="0"/>
      </w:pPr>
      <w:r>
        <w:rPr>
          <w:rFonts w:ascii="Calibri" w:cs="Calibri" w:eastAsia="Calibri" w:hAnsi="Calibri"/>
          <w:sz w:val="21"/>
          <w:szCs w:val="21"/>
        </w:rPr>
        <w:t xml:space="preserve">A full market breakdown pulled directly from Solscan lists 1,625 total trading pairs for this mint, almost all of them negligible in size given permissionless pool creation on Solana. The ten largest by volume account for effectively all meaningful liquidity and reconcile closely with the token's reported aggregate figure: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Venue</w:t>
            </w:r>
          </w:p>
        </w:tc>
        <w:tc>
          <w:tcPr>
            <w:tcW w:type="dxa" w:w="32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Pair</w:t>
            </w:r>
          </w:p>
        </w:tc>
        <w:tc>
          <w:tcPr>
            <w:tcW w:type="dxa" w:w="30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TVL</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Meteora DLMM</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ANSEM-WSOL</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$1,249,259.87</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Pump.fun AMM</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ANSEM-WSOL</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$2,637,583.87</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Meteora DLMM</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ANSEM-USDC</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$110,426.45</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Meteora DLMM</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ANSEM-WSOL</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$31,599.65</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Meteora DLMM</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ANSEM-WSOL</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$82,256.87</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Raydium Concentrated</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MANLET-ANSEM</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$115,562.71</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Raydium Concentrated</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ANSEM-USDC</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$6,887.90</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Orca Whirlpools</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WSOL-ANSEM</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$14,349.72</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Orca Whirlpools</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ANSEM-USDC</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$33,540.32</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Meteora DLMM</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ANSEM-WSOL</w:t>
            </w:r>
          </w:p>
        </w:tc>
        <w:tc>
          <w:tcPr>
            <w:tcW w:type="dxa" w:w="30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$14,872.91</w:t>
            </w:r>
          </w:p>
        </w:tc>
      </w:tr>
      <w:tr>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Top 10 total</w:t>
            </w:r>
          </w:p>
        </w:tc>
        <w:tc>
          <w:tcPr>
            <w:tcW w:type="dxa" w:w="3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
            </w:r>
          </w:p>
        </w:tc>
        <w:tc>
          <w:tcPr>
            <w:tcW w:type="dxa" w:w="30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b/>
                <w:bCs/>
                <w:sz w:val="19"/>
                <w:szCs w:val="19"/>
              </w:rPr>
              <w:t xml:space="preserve">$4,296,340.27</w:t>
            </w:r>
          </w:p>
        </w:tc>
      </w:tr>
    </w:tbl>
    <w:p>
      <w:pPr>
        <w:spacing w:after="160" w:before="0"/>
      </w:pPr>
      <w:r>
        <w:rPr>
          <w:rFonts w:ascii="Calibri" w:cs="Calibri" w:eastAsia="Calibri" w:hAnsi="Calibri"/>
          <w:sz w:val="21"/>
          <w:szCs w:val="21"/>
        </w:rPr>
        <w:t xml:space="preserve">This closes a gap flagged earlier in this analysis: </w:t>
      </w:r>
      <w:r>
        <w:rPr>
          <w:rFonts w:ascii="Calibri" w:cs="Calibri" w:eastAsia="Calibri" w:hAnsi="Calibri"/>
          <w:sz w:val="21"/>
          <w:szCs w:val="21"/>
        </w:rPr>
        <w:t xml:space="preserve">Solscan's token-level aggregate liquidity figure of $4,315,970.82 is within $19,631 of the sum above. The remainder previously treated as unlocated is fully explained by liquidity spread across many small pools rather than concentrated in a single unidentified venue.</w:t>
      </w:r>
    </w:p>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solscan.io/token/9cRCn9rGT8V2imeM2BaKs13yhMEais3ruM3rPvTGpump#markets, Markets tab, screenshot provided by the analyst.</w:t>
      </w:r>
    </w:p>
    <w:p>
      <w:pPr>
        <w:spacing w:after="160" w:before="0"/>
      </w:pPr>
      <w:r>
        <w:rPr>
          <w:rFonts w:ascii="Calibri" w:cs="Calibri" w:eastAsia="Calibri" w:hAnsi="Calibri"/>
          <w:sz w:val="21"/>
          <w:szCs w:val="21"/>
        </w:rPr>
        <w:t xml:space="preserve">Reserves for the two largest pools, read directly from each pool's account: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50"/>
        <w:gridCol w:w="3650"/>
      </w:tblGrid>
      <w:tr>
        <w:trPr>
          <w:tblHeader/>
        </w:trPr>
        <w:tc>
          <w:tcPr>
            <w:tcW w:type="dxa" w:w="22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Metric</w:t>
            </w:r>
          </w:p>
        </w:tc>
        <w:tc>
          <w:tcPr>
            <w:tcW w:type="dxa" w:w="365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Pump.fun AMM</w:t>
            </w:r>
          </w:p>
        </w:tc>
        <w:tc>
          <w:tcPr>
            <w:tcW w:type="dxa" w:w="365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Meteora (largest)</w:t>
            </w:r>
          </w:p>
        </w:tc>
      </w:tr>
      <w:tr>
        <w:tc>
          <w:tcPr>
            <w:tcW w:type="dxa" w:w="2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Pool account</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FnzKY6x7entQ1eR3D225dQyT7ybfka4PskBMQhb8L3CC</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6e7V9eegCHw997T72MxgwwJipZ6GJyZF8NvjkzT1rvpN</w:t>
            </w:r>
          </w:p>
        </w:tc>
      </w:tr>
      <w:tr>
        <w:tc>
          <w:tcPr>
            <w:tcW w:type="dxa" w:w="2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ANSEM reserve</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8,046,794.15 (~$1,252,817.55)</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3,538,924.48 (~$601,634.71)</w:t>
            </w:r>
          </w:p>
        </w:tc>
      </w:tr>
      <w:tr>
        <w:tc>
          <w:tcPr>
            <w:tcW w:type="dxa" w:w="2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WSOL reserve</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10,681.33 (~$1,255,396.49)</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5,452.48 (~$639,506.31)</w:t>
            </w:r>
          </w:p>
        </w:tc>
      </w:tr>
      <w:tr>
        <w:tc>
          <w:tcPr>
            <w:tcW w:type="dxa" w:w="2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Pool TVL</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$2,637,583.87</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$1,241,141.02</w:t>
            </w:r>
          </w:p>
        </w:tc>
      </w:tr>
      <w:tr>
        <w:tc>
          <w:tcPr>
            <w:tcW w:type="dxa" w:w="2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Program</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Pump.fun AMM</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Meteora DLMM (binned liquidity, not a plain constant-product curve)</w:t>
            </w:r>
          </w:p>
        </w:tc>
      </w:tr>
      <w:tr>
        <w:tc>
          <w:tcPr>
            <w:tcW w:type="dxa" w:w="22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sz w:val="19"/>
                <w:szCs w:val="19"/>
              </w:rPr>
              <w:t xml:space="preserve">Liquidity lock</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color w:val="1E7A34"/>
                <w:sz w:val="19"/>
                <w:szCs w:val="19"/>
              </w:rPr>
              <w:t xml:space="preserve">99.39% reported locked, per Solscan's pool page. Not independently traced to the locker contract by the analyst.</w:t>
            </w:r>
          </w:p>
        </w:tc>
        <w:tc>
          <w:tcPr>
            <w:tcW w:type="dxa" w:w="365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Not checked</w:t>
            </w:r>
          </w:p>
        </w:tc>
      </w:tr>
    </w:tbl>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solscan.io/account/FnzKY6x7entQ1eR3D225dQyT7ybfka4PskBMQhb8L3CC and solscan.io/account/6e7V9eegCHw997T72MxgwwJipZ6GJyZF8NvjkzT1rvpN, screenshots provided by the analyst.</w:t>
      </w:r>
    </w:p>
    <w:p>
      <w:pPr>
        <w:spacing w:after="160" w:before="0"/>
      </w:pPr>
      <w:r>
        <w:rPr>
          <w:rFonts w:ascii="Calibri" w:cs="Calibri" w:eastAsia="Calibri" w:hAnsi="Calibri"/>
          <w:sz w:val="21"/>
          <w:szCs w:val="21"/>
        </w:rPr>
        <w:t xml:space="preserve">Modeling a constant-product (x·y=k) swap, single-pool and combined across the two largest pools. The combined figure treats the Meteora pool's reserves as if constant-product for approximation purposes; Meteora's actual binned design concentrates liquidity around the current price rather than spreading it uniformly, so this is an estimate, not an exact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900"/>
        <w:gridCol w:w="1800"/>
        <w:gridCol w:w="1800"/>
      </w:tblGrid>
      <w:tr>
        <w:trPr>
          <w:tblHeader/>
        </w:trPr>
        <w:tc>
          <w:tcPr>
            <w:tcW w:type="dxa" w:w="28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Sell size</w:t>
            </w:r>
          </w:p>
        </w:tc>
        <w:tc>
          <w:tcPr>
            <w:tcW w:type="dxa" w:w="29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Tokens sold</w:t>
            </w:r>
          </w:p>
        </w:tc>
        <w:tc>
          <w:tcPr>
            <w:tcW w:type="dxa" w:w="18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Single pool (Pump.fun only)</w:t>
            </w:r>
          </w:p>
        </w:tc>
        <w:tc>
          <w:tcPr>
            <w:tcW w:type="dxa" w:w="18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Combined (2 pools)</w:t>
            </w:r>
          </w:p>
        </w:tc>
      </w:tr>
      <w:tr>
        <w:tc>
          <w:tcPr>
            <w:tcW w:type="dxa" w:w="2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 of BitGo wallet's balance</w:t>
            </w:r>
          </w:p>
        </w:tc>
        <w:tc>
          <w:tcPr>
            <w:tcW w:type="dxa" w:w="2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4,910,001 ANSEM (~$840K at $0.1714)</w:t>
            </w:r>
          </w:p>
        </w:tc>
        <w:tc>
          <w:tcPr>
            <w:tcW w:type="dxa" w:w="1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color w:val="B3261E"/>
                <w:sz w:val="19"/>
                <w:szCs w:val="19"/>
              </w:rPr>
              <w:t xml:space="preserve">≈ −61%</w:t>
            </w:r>
          </w:p>
        </w:tc>
        <w:tc>
          <w:tcPr>
            <w:tcW w:type="dxa" w:w="1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color w:val="B3261E"/>
                <w:sz w:val="19"/>
                <w:szCs w:val="19"/>
              </w:rPr>
              <w:t xml:space="preserve">≈ −51%</w:t>
            </w:r>
          </w:p>
        </w:tc>
      </w:tr>
      <w:tr>
        <w:tc>
          <w:tcPr>
            <w:tcW w:type="dxa" w:w="2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5% of BitGo wallet's balance</w:t>
            </w:r>
          </w:p>
        </w:tc>
        <w:tc>
          <w:tcPr>
            <w:tcW w:type="dxa" w:w="2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24,550,005 ANSEM</w:t>
            </w:r>
          </w:p>
        </w:tc>
        <w:tc>
          <w:tcPr>
            <w:tcW w:type="dxa" w:w="1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color w:val="B3261E"/>
                <w:sz w:val="19"/>
                <w:szCs w:val="19"/>
              </w:rPr>
              <w:t xml:space="preserve">≈ −94%</w:t>
            </w:r>
          </w:p>
        </w:tc>
        <w:tc>
          <w:tcPr>
            <w:tcW w:type="dxa" w:w="1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color w:val="B3261E"/>
                <w:sz w:val="19"/>
                <w:szCs w:val="19"/>
              </w:rPr>
              <w:t xml:space="preserve">≈ −90%</w:t>
            </w:r>
          </w:p>
        </w:tc>
      </w:tr>
      <w:tr>
        <w:tc>
          <w:tcPr>
            <w:tcW w:type="dxa" w:w="2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10% of BitGo wallet's balance</w:t>
            </w:r>
          </w:p>
        </w:tc>
        <w:tc>
          <w:tcPr>
            <w:tcW w:type="dxa" w:w="29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49,100,010 ANSEM</w:t>
            </w:r>
          </w:p>
        </w:tc>
        <w:tc>
          <w:tcPr>
            <w:tcW w:type="dxa" w:w="1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color w:val="B3261E"/>
                <w:sz w:val="19"/>
                <w:szCs w:val="19"/>
              </w:rPr>
              <w:t xml:space="preserve">≈ −98%</w:t>
            </w:r>
          </w:p>
        </w:tc>
        <w:tc>
          <w:tcPr>
            <w:tcW w:type="dxa" w:w="1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color w:val="B3261E"/>
                <w:sz w:val="19"/>
                <w:szCs w:val="19"/>
              </w:rPr>
              <w:t xml:space="preserve">≈ −96%</w:t>
            </w:r>
          </w:p>
        </w:tc>
      </w:tr>
    </w:tbl>
    <w:p>
      <w:pPr>
        <w:spacing w:after="160" w:before="0"/>
      </w:pPr>
      <w:r>
        <w:rPr>
          <w:rFonts w:ascii="Calibri" w:cs="Calibri" w:eastAsia="Calibri" w:hAnsi="Calibri"/>
          <w:i/>
          <w:iCs/>
          <w:color w:val="555555"/>
          <w:sz w:val="20"/>
          <w:szCs w:val="20"/>
        </w:rPr>
        <w:t xml:space="preserve">Both models ignore trading fees and assume no counter-liquidity arrives mid-sell. A real execution routed through an aggregator such as Jupiter would draw on the remaining smaller pools too, producing a somewhat smaller impact than even the combined column above. Even so, the gap between total known liquidity (~$4.3M across all venues) and the largest wallet's value (~$84M at the same snapshot) is wide enough that the top wallet alone could not exit even a small fraction of its position without severe price impact through on-chain liquidity.</w:t>
      </w:r>
    </w:p>
    <w:p>
      <w:pPr>
        <w:spacing w:after="160" w:before="0"/>
      </w:pPr>
      <w:r>
        <w:rPr>
          <w:rFonts w:ascii="Calibri" w:cs="Calibri" w:eastAsia="Calibri" w:hAnsi="Calibri"/>
          <w:b/>
          <w:bCs/>
          <w:sz w:val="21"/>
          <w:szCs w:val="21"/>
        </w:rPr>
        <w:t xml:space="preserve">Wallets with decreasing balances between the Sep 21 and Sep 22 snapshots: </w:t>
      </w:r>
      <w:r>
        <w:rPr>
          <w:rFonts w:ascii="Calibri" w:cs="Calibri" w:eastAsia="Calibri" w:hAnsi="Calibri"/>
          <w:sz w:val="21"/>
          <w:szCs w:val="21"/>
        </w:rPr>
        <w:t xml:space="preserve">of the top 10, none of the non-pool, non-exchange wallets showed a balance decrease in the ~24-hour window checked; the two changes observed were in custodial wallets and reflect routine exchange deposit/withdrawal flow rather than a directional sell signal (Hyperunit −61,712 tokens; MEXC position moved from 4,197,242 to 4,142,196 tokens). No top-10 wallet showed a large, abrupt outflow in this window.</w:t>
      </w:r>
    </w:p>
    <w:p>
      <w:pPr>
        <w:pStyle w:val="Heading1"/>
        <w:spacing w:after="140" w:before="320"/>
      </w:pPr>
      <w:r>
        <w:rPr>
          <w:rFonts w:ascii="Calibri" w:cs="Calibri" w:eastAsia="Calibri" w:hAnsi="Calibri"/>
          <w:b/>
          <w:bCs/>
          <w:color w:val="8B1E1E"/>
        </w:rPr>
        <w:t xml:space="preserve">7. Who Has Sold — Airdrop Retention &amp; Outflows</w:t>
      </w:r>
    </w:p>
    <w:p>
      <w:pPr>
        <w:spacing w:after="160" w:before="0"/>
      </w:pPr>
      <w:r>
        <w:rPr>
          <w:rFonts w:ascii="Calibri" w:cs="Calibri" w:eastAsia="Calibri" w:hAnsi="Calibri"/>
          <w:sz w:val="21"/>
          <w:szCs w:val="21"/>
        </w:rPr>
        <w:t xml:space="preserve">Ansem's wallet(s) have distributed tokens to the broader community via airdrops, publicly framed as redistributing Pump.fun creator fees (Section 2). This section traces what recipients did with those tokens.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rPr>
          <w:tblHeader/>
        </w:trPr>
        <w:tc>
          <w:tcPr>
            <w:tcW w:type="dxa" w:w="34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Metric</w:t>
            </w:r>
          </w:p>
        </w:tc>
        <w:tc>
          <w:tcPr>
            <w:tcW w:type="dxa" w:w="61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Value</w:t>
            </w:r>
          </w:p>
        </w:tc>
      </w:tr>
      <w:tr>
        <w:tc>
          <w:tcPr>
            <w:tcW w:type="dxa" w:w="3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Recipients traced</w:t>
            </w:r>
          </w:p>
        </w:tc>
        <w:tc>
          <w:tcPr>
            <w:tcW w:type="dxa" w:w="61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1,306 wallets</w:t>
            </w:r>
          </w:p>
        </w:tc>
      </w:tr>
      <w:tr>
        <w:tc>
          <w:tcPr>
            <w:tcW w:type="dxa" w:w="3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Total airdropped (traced)</w:t>
            </w:r>
          </w:p>
        </w:tc>
        <w:tc>
          <w:tcPr>
            <w:tcW w:type="dxa" w:w="61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71,830,955.78 ANSEM</w:t>
            </w:r>
          </w:p>
        </w:tc>
      </w:tr>
      <w:tr>
        <w:tc>
          <w:tcPr>
            <w:tcW w:type="dxa" w:w="3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Still held</w:t>
            </w:r>
          </w:p>
        </w:tc>
        <w:tc>
          <w:tcPr>
            <w:tcW w:type="dxa" w:w="61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8,652,832.28 ANSEM — 12.05% retained</w:t>
            </w:r>
          </w:p>
        </w:tc>
      </w:tr>
      <w:tr>
        <w:tc>
          <w:tcPr>
            <w:tcW w:type="dxa" w:w="3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Sold via DEX (floor estimate)</w:t>
            </w:r>
          </w:p>
        </w:tc>
        <w:tc>
          <w:tcPr>
            <w:tcW w:type="dxa" w:w="61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54,550,280.44 ANSEM (capped per-wallet at amount received, to avoid over-counting unrelated trading activity)</w:t>
            </w:r>
          </w:p>
        </w:tc>
      </w:tr>
      <w:tr>
        <w:tc>
          <w:tcPr>
            <w:tcW w:type="dxa" w:w="3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Wallets fully exited (zero balance)</w:t>
            </w:r>
          </w:p>
        </w:tc>
        <w:tc>
          <w:tcPr>
            <w:tcW w:type="dxa" w:w="61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b/>
                <w:bCs/>
                <w:color w:val="B3261E"/>
                <w:sz w:val="19"/>
                <w:szCs w:val="19"/>
              </w:rPr>
              <w:t xml:space="preserve">804 of 1,306 — 61.6%</w:t>
            </w:r>
          </w:p>
        </w:tc>
      </w:tr>
    </w:tbl>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Dune analysis joining ANSEM outflows from GV6UUmNxz2RpKxmNAPadYKb7uQpszwqQAu3qLJxVdC52 against current owner balances and dex_solana.trades, executed Sep 22 2026.</w:t>
      </w:r>
    </w:p>
    <w:p>
      <w:pPr>
        <w:spacing w:after="160" w:before="0"/>
      </w:pPr>
      <w:r>
        <w:rPr>
          <w:rFonts w:ascii="Calibri" w:cs="Calibri" w:eastAsia="Calibri" w:hAnsi="Calibri"/>
          <w:sz w:val="21"/>
          <w:szCs w:val="21"/>
        </w:rPr>
        <w:t xml:space="preserve">This is consistent with earlier, smaller-sample public reporting: Lookonchain observed in late June 2026 that of an initial 67.38M ANSEM (~$9.43M) airdropped to 700+ wallets, 74% (49.89M) went to just 7 wallets, which had already sold 38.29M of it within days.</w:t>
      </w:r>
    </w:p>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x.com/lookonchain/status/2071755661160202578</w:t>
      </w:r>
    </w:p>
    <w:p>
      <w:pPr>
        <w:spacing w:after="160" w:before="0"/>
      </w:pPr>
      <w:r>
        <w:rPr>
          <w:rFonts w:ascii="Calibri" w:cs="Calibri" w:eastAsia="Calibri" w:hAnsi="Calibri"/>
          <w:sz w:val="21"/>
          <w:szCs w:val="21"/>
        </w:rPr>
        <w:t xml:space="preserve">Individual examples from the traced recipient set (page 1 of the full 1,306-row result):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1400"/>
        <w:gridCol w:w="1400"/>
      </w:tblGrid>
      <w:tr>
        <w:trPr>
          <w:tblHeader/>
        </w:trPr>
        <w:tc>
          <w:tcPr>
            <w:tcW w:type="dxa" w:w="25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Recipient</w:t>
            </w:r>
          </w:p>
        </w:tc>
        <w:tc>
          <w:tcPr>
            <w:tcW w:type="dxa" w:w="16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Received</w:t>
            </w:r>
          </w:p>
        </w:tc>
        <w:tc>
          <w:tcPr>
            <w:tcW w:type="dxa" w:w="16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First received</w:t>
            </w:r>
          </w:p>
        </w:tc>
        <w:tc>
          <w:tcPr>
            <w:tcW w:type="dxa" w:w="14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Held now</w:t>
            </w:r>
          </w:p>
        </w:tc>
        <w:tc>
          <w:tcPr>
            <w:tcW w:type="dxa" w:w="14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 retained</w:t>
            </w:r>
          </w:p>
        </w:tc>
      </w:tr>
      <w:tr>
        <w:tc>
          <w:tcPr>
            <w:tcW w:type="dxa" w:w="2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5URyNU...c19Y</w:t>
            </w:r>
          </w:p>
        </w:tc>
        <w:tc>
          <w:tcPr>
            <w:tcW w:type="dxa" w:w="1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10,000,000</w:t>
            </w:r>
          </w:p>
        </w:tc>
        <w:tc>
          <w:tcPr>
            <w:tcW w:type="dxa" w:w="1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2026-06-28</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0</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color w:val="B3261E"/>
                <w:sz w:val="19"/>
                <w:szCs w:val="19"/>
              </w:rPr>
              <w:t xml:space="preserve">0%</w:t>
            </w:r>
          </w:p>
        </w:tc>
      </w:tr>
      <w:tr>
        <w:tc>
          <w:tcPr>
            <w:tcW w:type="dxa" w:w="2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49foKJ...gvctLa</w:t>
            </w:r>
          </w:p>
        </w:tc>
        <w:tc>
          <w:tcPr>
            <w:tcW w:type="dxa" w:w="1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8,000,000</w:t>
            </w:r>
          </w:p>
        </w:tc>
        <w:tc>
          <w:tcPr>
            <w:tcW w:type="dxa" w:w="1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2026-06-28</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0</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color w:val="B3261E"/>
                <w:sz w:val="19"/>
                <w:szCs w:val="19"/>
              </w:rPr>
              <w:t xml:space="preserve">0%</w:t>
            </w:r>
          </w:p>
        </w:tc>
      </w:tr>
      <w:tr>
        <w:tc>
          <w:tcPr>
            <w:tcW w:type="dxa" w:w="2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HDixbr...cSXN3o</w:t>
            </w:r>
          </w:p>
        </w:tc>
        <w:tc>
          <w:tcPr>
            <w:tcW w:type="dxa" w:w="1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3,800,000</w:t>
            </w:r>
          </w:p>
        </w:tc>
        <w:tc>
          <w:tcPr>
            <w:tcW w:type="dxa" w:w="1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2026-06-28</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3,754,834</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color w:val="1E7A34"/>
                <w:sz w:val="19"/>
                <w:szCs w:val="19"/>
              </w:rPr>
              <w:t xml:space="preserve">98.8%</w:t>
            </w:r>
          </w:p>
        </w:tc>
      </w:tr>
      <w:tr>
        <w:tc>
          <w:tcPr>
            <w:tcW w:type="dxa" w:w="2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onsolas" w:cs="Consolas" w:eastAsia="Consolas" w:hAnsi="Consolas"/>
                <w:sz w:val="16"/>
                <w:szCs w:val="16"/>
              </w:rPr>
              <w:t xml:space="preserve">6F5x9f...6LxoDi</w:t>
            </w:r>
          </w:p>
        </w:tc>
        <w:tc>
          <w:tcPr>
            <w:tcW w:type="dxa" w:w="1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3,690,000</w:t>
            </w:r>
          </w:p>
        </w:tc>
        <w:tc>
          <w:tcPr>
            <w:tcW w:type="dxa" w:w="16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2026-06-27</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146,062</w:t>
            </w:r>
          </w:p>
        </w:tc>
        <w:tc>
          <w:tcPr>
            <w:tcW w:type="dxa" w:w="14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color w:val="B3261E"/>
                <w:sz w:val="19"/>
                <w:szCs w:val="19"/>
              </w:rPr>
              <w:t xml:space="preserve">4.0%</w:t>
            </w:r>
          </w:p>
        </w:tc>
      </w:tr>
    </w:tbl>
    <w:p>
      <w:pPr>
        <w:spacing w:after="160" w:before="0"/>
      </w:pPr>
      <w:r>
        <w:rPr>
          <w:rFonts w:ascii="Calibri" w:cs="Calibri" w:eastAsia="Calibri" w:hAnsi="Calibri"/>
          <w:sz w:val="21"/>
          <w:szCs w:val="21"/>
        </w:rPr>
        <w:t xml:space="preserve">The recipient "49foKJ" is independently corroborated by Lookonchain reporting: it received an 8,000,000-token airdrop and sold the full position for ~$207,000 when ANSEM's market cap stood at $26M, a position that would later have been worth an estimated $2.6M.</w:t>
      </w:r>
    </w:p>
    <w:p>
      <w:pPr>
        <w:spacing w:after="180"/>
      </w:pPr>
      <w:r>
        <w:rPr>
          <w:rFonts w:ascii="Calibri" w:cs="Calibri" w:eastAsia="Calibri" w:hAnsi="Calibri"/>
          <w:b/>
          <w:bCs/>
          <w:i/>
          <w:iCs/>
          <w:color w:val="666666"/>
          <w:sz w:val="17"/>
          <w:szCs w:val="17"/>
        </w:rPr>
        <w:t xml:space="preserve">Source: </w:t>
      </w:r>
      <w:r>
        <w:rPr>
          <w:rFonts w:ascii="Consolas" w:cs="Consolas" w:eastAsia="Consolas" w:hAnsi="Consolas"/>
          <w:i/>
          <w:iCs/>
          <w:color w:val="666666"/>
          <w:sz w:val="17"/>
          <w:szCs w:val="17"/>
        </w:rPr>
        <w:t xml:space="preserve">bitget.com/news/detail/12560605489515; news.bitcoin.com/ansem-token-193-million-portfolio/</w:t>
      </w:r>
    </w:p>
    <w:p>
      <w:pPr>
        <w:spacing w:after="160" w:before="0"/>
      </w:pPr>
      <w:r>
        <w:rPr>
          <w:rFonts w:ascii="Calibri" w:cs="Calibri" w:eastAsia="Calibri" w:hAnsi="Calibri"/>
          <w:b/>
          <w:bCs/>
          <w:i/>
          <w:iCs/>
          <w:sz w:val="20"/>
          <w:szCs w:val="20"/>
        </w:rPr>
        <w:t xml:space="preserve">Note on the FnzKY6 and ASTyf wallets: </w:t>
      </w:r>
      <w:r>
        <w:rPr>
          <w:rFonts w:ascii="Calibri" w:cs="Calibri" w:eastAsia="Calibri" w:hAnsi="Calibri"/>
          <w:i/>
          <w:iCs/>
          <w:color w:val="555555"/>
          <w:sz w:val="20"/>
          <w:szCs w:val="20"/>
        </w:rPr>
        <w:t xml:space="preserve">an earlier pass through this analysis flagged apparent "outflows" from these two wallets as potential sell-pressure. Both are now correctly identified as the AMM pool and the MEXC exchange wallet respectively (Sections 4 and 6) — their balance movements reflect normal pool/exchange throughput, not a holder liquidating a position. This correction is documented here for the record.</w:t>
      </w:r>
    </w:p>
    <w:p>
      <w:pPr>
        <w:pStyle w:val="Heading1"/>
        <w:spacing w:after="140" w:before="320"/>
      </w:pPr>
      <w:r>
        <w:rPr>
          <w:rFonts w:ascii="Calibri" w:cs="Calibri" w:eastAsia="Calibri" w:hAnsi="Calibri"/>
          <w:b/>
          <w:bCs/>
          <w:color w:val="8B1E1E"/>
        </w:rPr>
        <w:t xml:space="preserve">8. Public Statements vs. On-Chain Data</w:t>
      </w:r>
    </w:p>
    <w:p>
      <w:pPr>
        <w:spacing w:after="160" w:before="0"/>
      </w:pPr>
      <w:r>
        <w:rPr>
          <w:rFonts w:ascii="Calibri" w:cs="Calibri" w:eastAsia="Calibri" w:hAnsi="Calibri"/>
          <w:sz w:val="21"/>
          <w:szCs w:val="21"/>
        </w:rPr>
        <w:t xml:space="preserve">No whitepaper exists for this project. The only public statements available are from Ansem's own X account and reporting by on-chain analytics firms (primarily Lookonchain and Bitquery). Where checkable, those statements are compared against the on-chain findings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1700"/>
      </w:tblGrid>
      <w:tr>
        <w:trPr>
          <w:tblHeader/>
        </w:trPr>
        <w:tc>
          <w:tcPr>
            <w:tcW w:type="dxa" w:w="35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Public statement</w:t>
            </w:r>
          </w:p>
        </w:tc>
        <w:tc>
          <w:tcPr>
            <w:tcW w:type="dxa" w:w="38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On-chain check</w:t>
            </w:r>
          </w:p>
        </w:tc>
        <w:tc>
          <w:tcPr>
            <w:tcW w:type="dxa" w:w="1700"/>
            <w:tcBorders>
              <w:top w:val="single" w:color="CCCCCC" w:sz="2"/>
              <w:left w:val="single" w:color="CCCCCC" w:sz="2"/>
              <w:bottom w:val="single" w:color="CCCCCC" w:sz="2"/>
              <w:right w:val="single" w:color="CCCCCC" w:sz="2"/>
            </w:tcBorders>
            <w:shd w:fill="2B2B2B" w:val="clear"/>
            <w:tcMar>
              <w:top w:type="dxa" w:w="80"/>
              <w:left w:type="dxa" w:w="100"/>
              <w:bottom w:type="dxa" w:w="80"/>
              <w:right w:type="dxa" w:w="100"/>
            </w:tcMar>
          </w:tcPr>
          <w:p>
            <w:r>
              <w:rPr>
                <w:rFonts w:ascii="Calibri" w:cs="Calibri" w:eastAsia="Calibri" w:hAnsi="Calibri"/>
                <w:b/>
                <w:bCs/>
                <w:color w:val="FFFFFF"/>
                <w:sz w:val="18"/>
                <w:szCs w:val="18"/>
              </w:rPr>
              <w:t xml:space="preserve">Result</w:t>
            </w:r>
          </w:p>
        </w:tc>
      </w:tr>
      <w:tr>
        <w:tc>
          <w:tcPr>
            <w:tcW w:type="dxa" w:w="3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 airdrops are Pump.fun creator fees being redistributed to holders, not a personal sale</w:t>
            </w:r>
          </w:p>
        </w:tc>
        <w:tc>
          <w:tcPr>
            <w:tcW w:type="dxa" w:w="3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The wallet doing the airdropping (GV6UU) has not itself sold ANSEM directly into the pool in the data reviewed; distribution instead flows outward to ~1,300+ recipient wallets, most of which then sell</w:t>
            </w:r>
          </w:p>
        </w:tc>
        <w:tc>
          <w:tcPr>
            <w:tcW w:type="dxa" w:w="1700"/>
            <w:tcBorders>
              <w:top w:val="single" w:color="CCCCCC" w:sz="2"/>
              <w:left w:val="single" w:color="CCCCCC" w:sz="2"/>
              <w:bottom w:val="single" w:color="CCCCCC" w:sz="2"/>
              <w:right w:val="single" w:color="CCCCCC" w:sz="2"/>
            </w:tcBorders>
            <w:shd w:fill="F2F2F2" w:val="clear"/>
            <w:tcMar>
              <w:top w:type="dxa" w:w="70"/>
              <w:left w:type="dxa" w:w="100"/>
              <w:bottom w:type="dxa" w:w="70"/>
              <w:right w:type="dxa" w:w="100"/>
            </w:tcMar>
          </w:tcPr>
          <w:p>
            <w:r>
              <w:rPr>
                <w:rFonts w:ascii="Calibri" w:cs="Calibri" w:eastAsia="Calibri" w:hAnsi="Calibri"/>
                <w:sz w:val="19"/>
                <w:szCs w:val="19"/>
              </w:rPr>
              <w:t xml:space="preserve">Consistent with the framing at the point of distribution; does not address what happens after</w:t>
            </w:r>
          </w:p>
        </w:tc>
      </w:tr>
      <w:tr>
        <w:tc>
          <w:tcPr>
            <w:tcW w:type="dxa" w:w="3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Ansem: goal of reaching 1,000,000 holders</w:t>
            </w:r>
          </w:p>
        </w:tc>
        <w:tc>
          <w:tcPr>
            <w:tcW w:type="dxa" w:w="3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Current holder count is ~142,770; 61.6% of one traced airdrop cohort already fully exited</w:t>
            </w:r>
          </w:p>
        </w:tc>
        <w:tc>
          <w:tcPr>
            <w:tcW w:type="dxa" w:w="1700"/>
            <w:tcBorders>
              <w:top w:val="single" w:color="CCCCCC" w:sz="2"/>
              <w:left w:val="single" w:color="CCCCCC" w:sz="2"/>
              <w:bottom w:val="single" w:color="CCCCCC" w:sz="2"/>
              <w:right w:val="single" w:color="CCCCCC" w:sz="2"/>
            </w:tcBorders>
            <w:shd w:fill="F2F2F2" w:val="clear"/>
            <w:tcMar>
              <w:top w:type="dxa" w:w="70"/>
              <w:left w:type="dxa" w:w="100"/>
              <w:bottom w:type="dxa" w:w="70"/>
              <w:right w:type="dxa" w:w="100"/>
            </w:tcMar>
          </w:tcPr>
          <w:p>
            <w:r>
              <w:rPr>
                <w:rFonts w:ascii="Calibri" w:cs="Calibri" w:eastAsia="Calibri" w:hAnsi="Calibri"/>
                <w:sz w:val="19"/>
                <w:szCs w:val="19"/>
              </w:rPr>
              <w:t xml:space="preserve">Far short of stated goal; retention trend works against it</w:t>
            </w:r>
          </w:p>
        </w:tc>
      </w:tr>
      <w:tr>
        <w:tc>
          <w:tcPr>
            <w:tcW w:type="dxa" w:w="35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Bitquery investigation: main Ansem-tagged wallet shows no direct DEX sells, while secondary/recipient wallets do sell</w:t>
            </w:r>
          </w:p>
        </w:tc>
        <w:tc>
          <w:tcPr>
            <w:tcW w:type="dxa" w:w="3800"/>
            <w:tcBorders>
              <w:top w:val="single" w:color="CCCCCC" w:sz="2"/>
              <w:left w:val="single" w:color="CCCCCC" w:sz="2"/>
              <w:bottom w:val="single" w:color="CCCCCC" w:sz="2"/>
              <w:right w:val="single" w:color="CCCCCC" w:sz="2"/>
            </w:tcBorders>
            <w:tcMar>
              <w:top w:type="dxa" w:w="70"/>
              <w:left w:type="dxa" w:w="100"/>
              <w:bottom w:type="dxa" w:w="70"/>
              <w:right w:type="dxa" w:w="100"/>
            </w:tcMar>
          </w:tcPr>
          <w:p>
            <w:r>
              <w:rPr>
                <w:rFonts w:ascii="Calibri" w:cs="Calibri" w:eastAsia="Calibri" w:hAnsi="Calibri"/>
                <w:sz w:val="19"/>
                <w:szCs w:val="19"/>
              </w:rPr>
              <w:t xml:space="preserve">Matches this report's finding — BitGo wallet (rank 1) shows no large recent outflow, while airdrop recipients show an 88% sell-through rate</w:t>
            </w:r>
          </w:p>
        </w:tc>
        <w:tc>
          <w:tcPr>
            <w:tcW w:type="dxa" w:w="1700"/>
            <w:tcBorders>
              <w:top w:val="single" w:color="CCCCCC" w:sz="2"/>
              <w:left w:val="single" w:color="CCCCCC" w:sz="2"/>
              <w:bottom w:val="single" w:color="CCCCCC" w:sz="2"/>
              <w:right w:val="single" w:color="CCCCCC" w:sz="2"/>
            </w:tcBorders>
            <w:shd w:fill="EAF5EC" w:val="clear"/>
            <w:tcMar>
              <w:top w:type="dxa" w:w="70"/>
              <w:left w:type="dxa" w:w="100"/>
              <w:bottom w:type="dxa" w:w="70"/>
              <w:right w:type="dxa" w:w="100"/>
            </w:tcMar>
          </w:tcPr>
          <w:p>
            <w:r>
              <w:rPr>
                <w:rFonts w:ascii="Calibri" w:cs="Calibri" w:eastAsia="Calibri" w:hAnsi="Calibri"/>
                <w:sz w:val="19"/>
                <w:szCs w:val="19"/>
              </w:rPr>
              <w:t xml:space="preserve">Consistent</w:t>
            </w:r>
          </w:p>
        </w:tc>
      </w:tr>
    </w:tbl>
    <w:p>
      <w:pPr>
        <w:spacing w:after="160" w:before="0"/>
      </w:pPr>
      <w:r>
        <w:rPr>
          <w:rFonts w:ascii="Calibri" w:cs="Calibri" w:eastAsia="Calibri" w:hAnsi="Calibri"/>
          <w:i/>
          <w:iCs/>
          <w:color w:val="555555"/>
          <w:sz w:val="20"/>
          <w:szCs w:val="20"/>
        </w:rPr>
        <w:t xml:space="preserve">No whitepaper, litepaper, or formal tokenomics document could be located for this project as of this report's date. Claims in this section are checked only against public social-media statements and third-party on-chain analytics reporting, not against any founding document.</w:t>
      </w:r>
    </w:p>
    <w:p>
      <w:pPr>
        <w:pStyle w:val="Heading1"/>
        <w:spacing w:after="140" w:before="320"/>
      </w:pPr>
      <w:r>
        <w:rPr>
          <w:rFonts w:ascii="Calibri" w:cs="Calibri" w:eastAsia="Calibri" w:hAnsi="Calibri"/>
          <w:b/>
          <w:bCs/>
          <w:color w:val="8B1E1E"/>
        </w:rPr>
        <w:t xml:space="preserve">9. Data Sources &amp; Methodology</w:t>
      </w:r>
    </w:p>
    <w:p>
      <w:pPr>
        <w:pStyle w:val="ListParagraph"/>
        <w:numPr>
          <w:ilvl w:val="0"/>
          <w:numId w:val="1"/>
        </w:numPr>
        <w:spacing w:after="100"/>
      </w:pPr>
      <w:r>
        <w:rPr>
          <w:rFonts w:ascii="Calibri" w:cs="Calibri" w:eastAsia="Calibri" w:hAnsi="Calibri"/>
          <w:sz w:val="21"/>
          <w:szCs w:val="21"/>
        </w:rPr>
        <w:t xml:space="preserve">On-chain balances and holder rankings: Dune Analytics, Solana schemas (tokens_solana.transfers, dex_solana.trades), custom SQL, executed Sep 21–22, 2026.</w:t>
      </w:r>
    </w:p>
    <w:p>
      <w:pPr>
        <w:pStyle w:val="ListParagraph"/>
        <w:numPr>
          <w:ilvl w:val="0"/>
          <w:numId w:val="1"/>
        </w:numPr>
        <w:spacing w:after="100"/>
      </w:pPr>
      <w:r>
        <w:rPr>
          <w:rFonts w:ascii="Calibri" w:cs="Calibri" w:eastAsia="Calibri" w:hAnsi="Calibri"/>
          <w:sz w:val="21"/>
          <w:szCs w:val="21"/>
        </w:rPr>
        <w:t xml:space="preserve">Wallet identity, tags, funding history, and token/authority metadata: Solscan.io, account and token pages, screenshots dated Sep 21–22, 2026 as cited inline.</w:t>
      </w:r>
    </w:p>
    <w:p>
      <w:pPr>
        <w:pStyle w:val="ListParagraph"/>
        <w:numPr>
          <w:ilvl w:val="0"/>
          <w:numId w:val="1"/>
        </w:numPr>
        <w:spacing w:after="100"/>
      </w:pPr>
      <w:r>
        <w:rPr>
          <w:rFonts w:ascii="Calibri" w:cs="Calibri" w:eastAsia="Calibri" w:hAnsi="Calibri"/>
          <w:sz w:val="21"/>
          <w:szCs w:val="21"/>
        </w:rPr>
        <w:t xml:space="preserve">Deployer behavior and early airdrop activity: Lookonchain on-chain monitoring, syndicated by The Defiant, AMBCrypto, Bitget, Phemex, CoinEdition, Grafa, and Bitcoin.com News.</w:t>
      </w:r>
    </w:p>
    <w:p>
      <w:pPr>
        <w:pStyle w:val="ListParagraph"/>
        <w:numPr>
          <w:ilvl w:val="0"/>
          <w:numId w:val="1"/>
        </w:numPr>
        <w:spacing w:after="100"/>
      </w:pPr>
      <w:r>
        <w:rPr>
          <w:rFonts w:ascii="Calibri" w:cs="Calibri" w:eastAsia="Calibri" w:hAnsi="Calibri"/>
          <w:sz w:val="21"/>
          <w:szCs w:val="21"/>
        </w:rPr>
        <w:t xml:space="preserve">Forensic cross-check on wallet-labeling blind spots: Bitquery Research investigation, bitquery.io/investigations/ansem-black-bull-370x-investigation.</w:t>
      </w:r>
    </w:p>
    <w:p>
      <w:pPr>
        <w:pStyle w:val="ListParagraph"/>
        <w:numPr>
          <w:ilvl w:val="0"/>
          <w:numId w:val="1"/>
        </w:numPr>
        <w:spacing w:after="100"/>
      </w:pPr>
      <w:r>
        <w:rPr>
          <w:rFonts w:ascii="Calibri" w:cs="Calibri" w:eastAsia="Calibri" w:hAnsi="Calibri"/>
          <w:sz w:val="21"/>
          <w:szCs w:val="21"/>
        </w:rPr>
        <w:t xml:space="preserve">Public statements: Ansem's X account (@blknoiz06), cited by post URL.</w:t>
      </w:r>
    </w:p>
    <w:p>
      <w:pPr>
        <w:spacing w:after="160" w:before="0"/>
      </w:pPr>
      <w:r>
        <w:rPr>
          <w:rFonts w:ascii="Calibri" w:cs="Calibri" w:eastAsia="Calibri" w:hAnsi="Calibri"/>
          <w:i/>
          <w:iCs/>
          <w:color w:val="555555"/>
          <w:sz w:val="20"/>
          <w:szCs w:val="20"/>
        </w:rPr>
        <w:t xml:space="preserve">All Dune SQL used to produce this report's figures is retained separately and available on request for independent re-execution.</w:t>
      </w:r>
    </w:p>
    <w:p>
      <w:pPr>
        <w:pStyle w:val="Heading1"/>
        <w:spacing w:after="140" w:before="320"/>
      </w:pPr>
      <w:r>
        <w:rPr>
          <w:rFonts w:ascii="Calibri" w:cs="Calibri" w:eastAsia="Calibri" w:hAnsi="Calibri"/>
          <w:b/>
          <w:bCs/>
          <w:color w:val="8B1E1E"/>
        </w:rPr>
        <w:t xml:space="preserve">10. Limitations &amp; Recommended Follow-Up</w:t>
      </w:r>
    </w:p>
    <w:p>
      <w:pPr>
        <w:pStyle w:val="ListParagraph"/>
        <w:numPr>
          <w:ilvl w:val="0"/>
          <w:numId w:val="1"/>
        </w:numPr>
        <w:spacing w:after="100"/>
      </w:pPr>
      <w:r>
        <w:rPr>
          <w:rFonts w:ascii="Calibri" w:cs="Calibri" w:eastAsia="Calibri" w:hAnsi="Calibri"/>
          <w:sz w:val="21"/>
          <w:szCs w:val="21"/>
        </w:rPr>
        <w:t xml:space="preserve">Wallet attribution for GV6UU ("ansemconzimp") to Ansem rests on Solscan's public tag and a cited Lookonchain tweet, plus the deployer transaction itself naming that account — not a signed on-chain claim from Ansem's own verified wallet. The GV6UU→BitGo transfer chain itself is fully transaction-confirmed (Section 5).</w:t>
      </w:r>
    </w:p>
    <w:p>
      <w:pPr>
        <w:pStyle w:val="ListParagraph"/>
        <w:numPr>
          <w:ilvl w:val="0"/>
          <w:numId w:val="1"/>
        </w:numPr>
        <w:spacing w:after="100"/>
      </w:pPr>
      <w:r>
        <w:rPr>
          <w:rFonts w:ascii="Calibri" w:cs="Calibri" w:eastAsia="Calibri" w:hAnsi="Calibri"/>
          <w:sz w:val="21"/>
          <w:szCs w:val="21"/>
        </w:rPr>
        <w:t xml:space="preserve">The DEX-sold figures in Section 7 are a floor estimate (capped at each wallet's received amount); true airdrop-specific selling may be somewhat higher once wallet-to-wallet passthrough transfers are fully traced.</w:t>
      </w:r>
    </w:p>
    <w:p>
      <w:pPr>
        <w:pStyle w:val="ListParagraph"/>
        <w:numPr>
          <w:ilvl w:val="0"/>
          <w:numId w:val="1"/>
        </w:numPr>
        <w:spacing w:after="100"/>
      </w:pPr>
      <w:r>
        <w:rPr>
          <w:rFonts w:ascii="Calibri" w:cs="Calibri" w:eastAsia="Calibri" w:hAnsi="Calibri"/>
          <w:sz w:val="21"/>
          <w:szCs w:val="21"/>
        </w:rPr>
        <w:t xml:space="preserve">The Meteora pool's liquidity lock status was not checked (only the Pump.fun AMM pool's lock was examined), and the Pump.fun pool's reported 99.39% lock has not been independently traced to its underlying locker contract.</w:t>
      </w:r>
    </w:p>
    <w:p>
      <w:pPr>
        <w:pStyle w:val="ListParagraph"/>
        <w:numPr>
          <w:ilvl w:val="0"/>
          <w:numId w:val="1"/>
        </w:numPr>
        <w:spacing w:after="100"/>
      </w:pPr>
      <w:r>
        <w:rPr>
          <w:rFonts w:ascii="Calibri" w:cs="Calibri" w:eastAsia="Calibri" w:hAnsi="Calibri"/>
          <w:sz w:val="21"/>
          <w:szCs w:val="21"/>
        </w:rPr>
        <w:t xml:space="preserve">Holder counts throughout are not filtered for economically meaningless (dust) balances; a threshold-filtered holder count would give a more meaningful distribution picture than the raw 142,770 figure.</w:t>
      </w:r>
    </w:p>
    <w:p>
      <w:pPr>
        <w:spacing w:after="160" w:before="0"/>
      </w:pPr>
      <w:r>
        <w:rPr>
          <w:rFonts w:ascii="Calibri" w:cs="Calibri" w:eastAsia="Calibri" w:hAnsi="Calibri"/>
          <w:b/>
          <w:bCs/>
          <w:i/>
          <w:iCs/>
          <w:color w:val="555555"/>
          <w:sz w:val="20"/>
          <w:szCs w:val="20"/>
        </w:rPr>
        <w:t xml:space="preserve">This report reflects a snapshot; a token like this can change materially within hours given its trading volume and concentration. Recommend re-running the core balance and liquidity queries before publishing any figures derived from this report if more than 48 hours has passed.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2026-09-23T03:22:30.236Z</dcterms:created>
  <dcterms:modified xsi:type="dcterms:W3CDTF">2026-09-23T03:22:30.236Z</dcterms:modified>
</cp:coreProperties>
</file>

<file path=docProps/custom.xml><?xml version="1.0" encoding="utf-8"?>
<Properties xmlns="http://schemas.openxmlformats.org/officeDocument/2006/custom-properties" xmlns:vt="http://schemas.openxmlformats.org/officeDocument/2006/docPropsVTypes"/>
</file>