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CED73" w14:textId="77777777" w:rsidR="009A6EBE" w:rsidRDefault="009A6EBE" w:rsidP="009A6EBE">
      <w:pPr>
        <w:spacing w:after="120"/>
        <w:jc w:val="both"/>
        <w:rPr>
          <w:rFonts w:ascii="Arial" w:hAnsi="Arial" w:cs="Arial"/>
          <w:b/>
          <w:bCs/>
          <w:sz w:val="36"/>
          <w:szCs w:val="36"/>
        </w:rPr>
      </w:pPr>
      <w:r w:rsidRPr="009A6EBE">
        <w:rPr>
          <w:rFonts w:ascii="Arial" w:hAnsi="Arial" w:cs="Arial"/>
          <w:b/>
          <w:bCs/>
          <w:sz w:val="36"/>
          <w:szCs w:val="36"/>
        </w:rPr>
        <w:t>BÁO CÁO NGHIÊN CỨU VÀ ĐÁNH GIÁ TÀI LIỆU HỌC THUẬT</w:t>
      </w:r>
    </w:p>
    <w:p w14:paraId="0D9B3E17" w14:textId="77777777" w:rsidR="00503DA8" w:rsidRDefault="00503DA8" w:rsidP="009A6EBE">
      <w:pPr>
        <w:spacing w:after="120"/>
        <w:jc w:val="both"/>
        <w:rPr>
          <w:rFonts w:ascii="Arial" w:hAnsi="Arial" w:cs="Arial"/>
          <w:sz w:val="28"/>
          <w:szCs w:val="28"/>
        </w:rPr>
      </w:pPr>
    </w:p>
    <w:p w14:paraId="04A2977F" w14:textId="77777777" w:rsidR="00503DA8" w:rsidRDefault="00503DA8" w:rsidP="009A6EBE">
      <w:pPr>
        <w:spacing w:after="120"/>
        <w:jc w:val="both"/>
        <w:rPr>
          <w:rFonts w:ascii="Arial" w:hAnsi="Arial" w:cs="Arial"/>
          <w:sz w:val="28"/>
          <w:szCs w:val="28"/>
        </w:rPr>
      </w:pPr>
      <w:r w:rsidRPr="00503DA8">
        <w:rPr>
          <w:rFonts w:ascii="Arial" w:hAnsi="Arial" w:cs="Arial"/>
          <w:sz w:val="28"/>
          <w:szCs w:val="28"/>
        </w:rPr>
        <w:t xml:space="preserve">Họ và tên sinh viên: Nguyễn Doãn Minh Hiếu </w:t>
      </w:r>
    </w:p>
    <w:p w14:paraId="7FD45614" w14:textId="64E6C864" w:rsidR="00503DA8" w:rsidRPr="00503DA8" w:rsidRDefault="00503DA8" w:rsidP="009A6EBE">
      <w:pPr>
        <w:spacing w:after="120"/>
        <w:jc w:val="both"/>
        <w:rPr>
          <w:rFonts w:ascii="Arial" w:hAnsi="Arial" w:cs="Arial"/>
          <w:sz w:val="28"/>
          <w:szCs w:val="28"/>
        </w:rPr>
      </w:pPr>
      <w:r w:rsidRPr="00503DA8">
        <w:rPr>
          <w:rFonts w:ascii="Arial" w:hAnsi="Arial" w:cs="Arial"/>
          <w:sz w:val="28"/>
          <w:szCs w:val="28"/>
        </w:rPr>
        <w:t>Mã số sinh viên (MSSV): 25020930</w:t>
      </w:r>
    </w:p>
    <w:p w14:paraId="0DDE10E0" w14:textId="77777777" w:rsidR="009A6EBE" w:rsidRPr="009A6EBE" w:rsidRDefault="009A6EBE" w:rsidP="009A6EBE">
      <w:pPr>
        <w:spacing w:after="120"/>
        <w:jc w:val="both"/>
        <w:rPr>
          <w:rFonts w:ascii="Arial" w:hAnsi="Arial" w:cs="Arial"/>
          <w:sz w:val="28"/>
          <w:szCs w:val="28"/>
        </w:rPr>
      </w:pPr>
    </w:p>
    <w:p w14:paraId="1B3A086A"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Chủ đề: Nghiên cứu xu hướng phát triển và tiềm năng ứng dụng của Vật liệu bán dẫn hai chiều (2D Materials) MoS2 trong việc thay thế Silicon cho Transistor thế hệ mới.</w:t>
      </w:r>
    </w:p>
    <w:p w14:paraId="1C61965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Ngành học: Vật lý Kỹ thuật / Công nghệ Bán dẫn và Vi mạch.</w:t>
      </w:r>
    </w:p>
    <w:p w14:paraId="66D13430" w14:textId="77777777" w:rsidR="009A6EBE" w:rsidRPr="009A6EBE" w:rsidRDefault="009A6EBE" w:rsidP="009A6EBE">
      <w:pPr>
        <w:spacing w:after="120"/>
        <w:jc w:val="both"/>
        <w:rPr>
          <w:rFonts w:ascii="Arial" w:hAnsi="Arial" w:cs="Arial"/>
          <w:sz w:val="28"/>
          <w:szCs w:val="28"/>
        </w:rPr>
      </w:pPr>
    </w:p>
    <w:p w14:paraId="02CBF234"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w:t>
      </w:r>
    </w:p>
    <w:p w14:paraId="6517636B" w14:textId="77777777" w:rsidR="009A6EBE" w:rsidRPr="009A6EBE" w:rsidRDefault="009A6EBE" w:rsidP="009A6EBE">
      <w:pPr>
        <w:spacing w:after="120"/>
        <w:jc w:val="both"/>
        <w:rPr>
          <w:rFonts w:ascii="Arial" w:hAnsi="Arial" w:cs="Arial"/>
          <w:sz w:val="28"/>
          <w:szCs w:val="28"/>
        </w:rPr>
      </w:pPr>
    </w:p>
    <w:p w14:paraId="4D4DF85C"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I. MỞ ĐẦU VÀ XÁC ĐỊNH PHẠM VI NGHIÊN CỨU</w:t>
      </w:r>
    </w:p>
    <w:p w14:paraId="433DAEE6" w14:textId="77777777" w:rsidR="009A6EBE" w:rsidRPr="009A6EBE" w:rsidRDefault="009A6EBE" w:rsidP="009A6EBE">
      <w:pPr>
        <w:spacing w:after="120"/>
        <w:jc w:val="both"/>
        <w:rPr>
          <w:rFonts w:ascii="Arial" w:hAnsi="Arial" w:cs="Arial"/>
          <w:sz w:val="28"/>
          <w:szCs w:val="28"/>
        </w:rPr>
      </w:pPr>
    </w:p>
    <w:p w14:paraId="306B805A"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1. Lý do chọn chủ đề và tính thách thức</w:t>
      </w:r>
    </w:p>
    <w:p w14:paraId="2727CB8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Trong hơn nửa thế kỷ qua, định luật Moore đã dẫn dắt ngành công nghiệp bán dẫn bằng việc thu nhỏ kích thước của các Transistor lưỡng cực cổng cách điện dựa trên nền tảng Silicon (Si). Tuy nhiên, khi tiến trình chế tạo chip tiến dần đến giới hạn vật lý dưới 2 nm, vật liệu Silicon truyền thống đối mặt với những thách thức nghiêm trọng: hiệu ứng kênh ngắn (Short-channel effects), dòng rò lượng tử ở trạng thái tắt gia tăng, và sự bốc bay nhiệt lượng cực lớn gây giảm hiệu suất linh kiện.</w:t>
      </w:r>
    </w:p>
    <w:p w14:paraId="3CB78A74" w14:textId="77777777" w:rsidR="009A6EBE" w:rsidRPr="009A6EBE" w:rsidRDefault="009A6EBE" w:rsidP="009A6EBE">
      <w:pPr>
        <w:spacing w:after="120"/>
        <w:jc w:val="both"/>
        <w:rPr>
          <w:rFonts w:ascii="Arial" w:hAnsi="Arial" w:cs="Arial"/>
          <w:sz w:val="28"/>
          <w:szCs w:val="28"/>
        </w:rPr>
      </w:pPr>
    </w:p>
    <w:p w14:paraId="68475583"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xml:space="preserve">Để giải quyết bài toán này, ngành Vật lý Kỹ thuật đang tập trung nghiên cứu các vật liệu bán dẫn hai chiều (2D Materials), nổi bật nhất là Molybdenum Disulfide (MoS2). Với độ dày chỉ bằng một lớp đơn nguyên tử, MoS2 sở hữu khoảng dải năng lượng (Bandgap) dạng trực tiếp khoảng 1.8 eV (khác với Graphene không có bandgap), cho phép kiểm soát dòng điện ở trạng thái </w:t>
      </w:r>
      <w:r w:rsidRPr="009A6EBE">
        <w:rPr>
          <w:rFonts w:ascii="Arial" w:hAnsi="Arial" w:cs="Arial"/>
          <w:sz w:val="28"/>
          <w:szCs w:val="28"/>
        </w:rPr>
        <w:lastRenderedPageBreak/>
        <w:t>tắt/mở cực kỳ hiệu quả. Việc nghiên cứu xu hướng và đánh giá tiềm năng của MoS2 thay thế Silicon là một đề tài có tính thách thức kỹ thuật cao, mang tính thời sự toàn cầu trong giai đoạn 2024–2026.</w:t>
      </w:r>
    </w:p>
    <w:p w14:paraId="13A86679" w14:textId="77777777" w:rsidR="009A6EBE" w:rsidRPr="009A6EBE" w:rsidRDefault="009A6EBE" w:rsidP="009A6EBE">
      <w:pPr>
        <w:spacing w:after="120"/>
        <w:jc w:val="both"/>
        <w:rPr>
          <w:rFonts w:ascii="Arial" w:hAnsi="Arial" w:cs="Arial"/>
          <w:sz w:val="28"/>
          <w:szCs w:val="28"/>
        </w:rPr>
      </w:pPr>
    </w:p>
    <w:p w14:paraId="3E6FE84E"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2. Phạm vi tìm kiếm thông tin</w:t>
      </w:r>
    </w:p>
    <w:p w14:paraId="662FC29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Giới hạn thời gian: Tài liệu xuất bản chủ yếu từ năm 2020 đến 2026 để đảm bảo tính cập nhật.</w:t>
      </w:r>
    </w:p>
    <w:p w14:paraId="5148F4EB"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Cơ sở dữ liệu tiếp cận: Google Scholar, ScienceDirect, IEEE Xplore, và các báo cáo chiến lược từ các tổ chức công nghệ vi mạch uy tín (TSMC, Intel, IMEC).</w:t>
      </w:r>
    </w:p>
    <w:p w14:paraId="76E8C1F2"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Từ khóa tìm kiếm (Keywords): MoS2 transistor, 2D semiconductors, short-channel effects, next-generation field-effect transistor (FET), Silicon replacement.</w:t>
      </w:r>
    </w:p>
    <w:p w14:paraId="5A65544D" w14:textId="77777777" w:rsidR="009A6EBE" w:rsidRPr="009A6EBE" w:rsidRDefault="009A6EBE" w:rsidP="009A6EBE">
      <w:pPr>
        <w:spacing w:after="120"/>
        <w:jc w:val="both"/>
        <w:rPr>
          <w:rFonts w:ascii="Arial" w:hAnsi="Arial" w:cs="Arial"/>
          <w:sz w:val="28"/>
          <w:szCs w:val="28"/>
        </w:rPr>
      </w:pPr>
    </w:p>
    <w:p w14:paraId="7C6003AE"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w:t>
      </w:r>
    </w:p>
    <w:p w14:paraId="0A7A3821" w14:textId="77777777" w:rsidR="009A6EBE" w:rsidRPr="009A6EBE" w:rsidRDefault="009A6EBE" w:rsidP="009A6EBE">
      <w:pPr>
        <w:spacing w:after="120"/>
        <w:jc w:val="both"/>
        <w:rPr>
          <w:rFonts w:ascii="Arial" w:hAnsi="Arial" w:cs="Arial"/>
          <w:sz w:val="28"/>
          <w:szCs w:val="28"/>
        </w:rPr>
      </w:pPr>
    </w:p>
    <w:p w14:paraId="0DC7FEAB"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II. QUY TRÌNH TÌM KIẾM VÀ BẢNG TỔNG HỢP NGUỒN THÔNG TIN</w:t>
      </w:r>
    </w:p>
    <w:p w14:paraId="4C818DD5" w14:textId="77777777" w:rsidR="009A6EBE" w:rsidRPr="009A6EBE" w:rsidRDefault="009A6EBE" w:rsidP="009A6EBE">
      <w:pPr>
        <w:spacing w:after="120"/>
        <w:jc w:val="both"/>
        <w:rPr>
          <w:rFonts w:ascii="Arial" w:hAnsi="Arial" w:cs="Arial"/>
          <w:sz w:val="28"/>
          <w:szCs w:val="28"/>
        </w:rPr>
      </w:pPr>
    </w:p>
    <w:p w14:paraId="212B088F"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Quá trình tìm kiếm đã thu thập và sàng lọc được 10 tài liệu tham khảo cốt lõi, bao gồm 6 bài báo khoa học đỉnh cao thuộc danh mục ISI/Scopus, 2 sách chuyên khảo và 2 nguồn mở uy tín từ các viện nghiên cứu công nghệ lớn toàn cầu.</w:t>
      </w:r>
    </w:p>
    <w:p w14:paraId="0AF42A2C" w14:textId="77777777" w:rsidR="009A6EBE" w:rsidRPr="009A6EBE" w:rsidRDefault="009A6EBE" w:rsidP="009A6EBE">
      <w:pPr>
        <w:spacing w:after="120"/>
        <w:jc w:val="both"/>
        <w:rPr>
          <w:rFonts w:ascii="Arial" w:hAnsi="Arial" w:cs="Arial"/>
          <w:sz w:val="28"/>
          <w:szCs w:val="28"/>
        </w:rPr>
      </w:pPr>
    </w:p>
    <w:p w14:paraId="540293C1"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Dưới đây là bảng tổng hợp, đánh giá hệ thống và xếp hạng độ tin cậy của từng nguồn dựa trên các tiêu chí: Tác giả, Cơ quan xuất bản, Phương pháp luận, và Tính cập nhật.</w:t>
      </w:r>
    </w:p>
    <w:p w14:paraId="01EB2EAE" w14:textId="77777777" w:rsidR="009A6EBE" w:rsidRPr="009A6EBE" w:rsidRDefault="009A6EBE" w:rsidP="009A6EBE">
      <w:pPr>
        <w:spacing w:after="120"/>
        <w:jc w:val="both"/>
        <w:rPr>
          <w:rFonts w:ascii="Arial" w:hAnsi="Arial" w:cs="Arial"/>
          <w:sz w:val="28"/>
          <w:szCs w:val="28"/>
        </w:rPr>
      </w:pPr>
    </w:p>
    <w:p w14:paraId="366A7B57"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(Mẹo trong Word: Sau khi dán đoạn text bên dưới, bạn có thể quét chọn phần bảng này, chọn Insert &gt; Table &gt; Convert Text to Table để tự động chuyển thành bảng Word đẹp mắt).</w:t>
      </w:r>
    </w:p>
    <w:p w14:paraId="2E0A7FF1" w14:textId="77777777" w:rsidR="009A6EBE" w:rsidRPr="009A6EBE" w:rsidRDefault="009A6EBE" w:rsidP="009A6EBE">
      <w:pPr>
        <w:spacing w:after="120"/>
        <w:jc w:val="both"/>
        <w:rPr>
          <w:rFonts w:ascii="Arial" w:hAnsi="Arial" w:cs="Arial"/>
          <w:sz w:val="28"/>
          <w:szCs w:val="28"/>
        </w:rPr>
      </w:pPr>
    </w:p>
    <w:tbl>
      <w:tblPr>
        <w:tblStyle w:val="TableGrid"/>
        <w:tblW w:w="0" w:type="auto"/>
        <w:tblLook w:val="04A0" w:firstRow="1" w:lastRow="0" w:firstColumn="1" w:lastColumn="0" w:noHBand="0" w:noVBand="1"/>
      </w:tblPr>
      <w:tblGrid>
        <w:gridCol w:w="742"/>
        <w:gridCol w:w="2287"/>
        <w:gridCol w:w="1329"/>
        <w:gridCol w:w="1685"/>
        <w:gridCol w:w="1128"/>
        <w:gridCol w:w="1267"/>
        <w:gridCol w:w="912"/>
      </w:tblGrid>
      <w:tr w:rsidR="009A6EBE" w:rsidRPr="009A6EBE" w14:paraId="1A9D5BF1" w14:textId="77777777" w:rsidTr="009A6EBE">
        <w:tc>
          <w:tcPr>
            <w:tcW w:w="1335" w:type="dxa"/>
          </w:tcPr>
          <w:p w14:paraId="28501D68" w14:textId="69641DA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STT</w:t>
            </w:r>
          </w:p>
        </w:tc>
        <w:tc>
          <w:tcPr>
            <w:tcW w:w="1335" w:type="dxa"/>
          </w:tcPr>
          <w:p w14:paraId="2484E73D" w14:textId="7D3345DC"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Tài liệu (Tác giả, Năm, Tên tài liệu)</w:t>
            </w:r>
          </w:p>
        </w:tc>
        <w:tc>
          <w:tcPr>
            <w:tcW w:w="1336" w:type="dxa"/>
          </w:tcPr>
          <w:p w14:paraId="19A7DB71" w14:textId="6E73B1A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Loại nguồn</w:t>
            </w:r>
          </w:p>
        </w:tc>
        <w:tc>
          <w:tcPr>
            <w:tcW w:w="1336" w:type="dxa"/>
          </w:tcPr>
          <w:p w14:paraId="579A2E14" w14:textId="2B03DB3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Phương pháp nghiên cứu</w:t>
            </w:r>
          </w:p>
        </w:tc>
        <w:tc>
          <w:tcPr>
            <w:tcW w:w="1336" w:type="dxa"/>
          </w:tcPr>
          <w:p w14:paraId="50E69FAA" w14:textId="7171E809"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Điểm mạnh (Ưu điểm)</w:t>
            </w:r>
          </w:p>
        </w:tc>
        <w:tc>
          <w:tcPr>
            <w:tcW w:w="1336" w:type="dxa"/>
          </w:tcPr>
          <w:p w14:paraId="3A8813E6" w14:textId="5298D842"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Điểm yếu (Hạn chế)</w:t>
            </w:r>
          </w:p>
        </w:tc>
        <w:tc>
          <w:tcPr>
            <w:tcW w:w="1336" w:type="dxa"/>
          </w:tcPr>
          <w:p w14:paraId="117041EA" w14:textId="4CAD4254"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Đánh giá độ tin cậy &amp; Xếp hạng</w:t>
            </w:r>
          </w:p>
        </w:tc>
      </w:tr>
      <w:tr w:rsidR="009A6EBE" w:rsidRPr="009A6EBE" w14:paraId="5287465E" w14:textId="77777777" w:rsidTr="009A6EBE">
        <w:tc>
          <w:tcPr>
            <w:tcW w:w="1335" w:type="dxa"/>
          </w:tcPr>
          <w:p w14:paraId="21DCED4A" w14:textId="77777777" w:rsidR="009A6EBE" w:rsidRPr="009A6EBE" w:rsidRDefault="009A6EBE" w:rsidP="009A6EBE">
            <w:pPr>
              <w:spacing w:after="120"/>
              <w:jc w:val="both"/>
              <w:rPr>
                <w:rFonts w:ascii="Arial" w:hAnsi="Arial" w:cs="Arial"/>
                <w:sz w:val="28"/>
                <w:szCs w:val="28"/>
              </w:rPr>
            </w:pPr>
          </w:p>
        </w:tc>
        <w:tc>
          <w:tcPr>
            <w:tcW w:w="1335" w:type="dxa"/>
          </w:tcPr>
          <w:p w14:paraId="33880753" w14:textId="77777777" w:rsidR="009A6EBE" w:rsidRPr="009A6EBE" w:rsidRDefault="009A6EBE" w:rsidP="009A6EBE">
            <w:pPr>
              <w:spacing w:after="120"/>
              <w:jc w:val="both"/>
              <w:rPr>
                <w:rFonts w:ascii="Arial" w:hAnsi="Arial" w:cs="Arial"/>
                <w:sz w:val="28"/>
                <w:szCs w:val="28"/>
              </w:rPr>
            </w:pPr>
          </w:p>
        </w:tc>
        <w:tc>
          <w:tcPr>
            <w:tcW w:w="1336" w:type="dxa"/>
          </w:tcPr>
          <w:p w14:paraId="048DD405" w14:textId="77777777" w:rsidR="009A6EBE" w:rsidRPr="009A6EBE" w:rsidRDefault="009A6EBE" w:rsidP="009A6EBE">
            <w:pPr>
              <w:spacing w:after="120"/>
              <w:jc w:val="both"/>
              <w:rPr>
                <w:rFonts w:ascii="Arial" w:hAnsi="Arial" w:cs="Arial"/>
                <w:sz w:val="28"/>
                <w:szCs w:val="28"/>
              </w:rPr>
            </w:pPr>
          </w:p>
        </w:tc>
        <w:tc>
          <w:tcPr>
            <w:tcW w:w="1336" w:type="dxa"/>
          </w:tcPr>
          <w:p w14:paraId="500B87A0" w14:textId="77777777" w:rsidR="009A6EBE" w:rsidRPr="009A6EBE" w:rsidRDefault="009A6EBE" w:rsidP="009A6EBE">
            <w:pPr>
              <w:spacing w:after="120"/>
              <w:jc w:val="both"/>
              <w:rPr>
                <w:rFonts w:ascii="Arial" w:hAnsi="Arial" w:cs="Arial"/>
                <w:sz w:val="28"/>
                <w:szCs w:val="28"/>
              </w:rPr>
            </w:pPr>
          </w:p>
        </w:tc>
        <w:tc>
          <w:tcPr>
            <w:tcW w:w="1336" w:type="dxa"/>
          </w:tcPr>
          <w:p w14:paraId="655EEDB9" w14:textId="77777777" w:rsidR="009A6EBE" w:rsidRPr="009A6EBE" w:rsidRDefault="009A6EBE" w:rsidP="009A6EBE">
            <w:pPr>
              <w:spacing w:after="120"/>
              <w:jc w:val="both"/>
              <w:rPr>
                <w:rFonts w:ascii="Arial" w:hAnsi="Arial" w:cs="Arial"/>
                <w:sz w:val="28"/>
                <w:szCs w:val="28"/>
              </w:rPr>
            </w:pPr>
          </w:p>
        </w:tc>
        <w:tc>
          <w:tcPr>
            <w:tcW w:w="1336" w:type="dxa"/>
          </w:tcPr>
          <w:p w14:paraId="05D2C1EE" w14:textId="77777777" w:rsidR="009A6EBE" w:rsidRPr="009A6EBE" w:rsidRDefault="009A6EBE" w:rsidP="009A6EBE">
            <w:pPr>
              <w:spacing w:after="120"/>
              <w:jc w:val="both"/>
              <w:rPr>
                <w:rFonts w:ascii="Arial" w:hAnsi="Arial" w:cs="Arial"/>
                <w:sz w:val="28"/>
                <w:szCs w:val="28"/>
              </w:rPr>
            </w:pPr>
          </w:p>
        </w:tc>
        <w:tc>
          <w:tcPr>
            <w:tcW w:w="1336" w:type="dxa"/>
          </w:tcPr>
          <w:p w14:paraId="01667446" w14:textId="77777777" w:rsidR="009A6EBE" w:rsidRPr="009A6EBE" w:rsidRDefault="009A6EBE" w:rsidP="009A6EBE">
            <w:pPr>
              <w:spacing w:after="120"/>
              <w:jc w:val="both"/>
              <w:rPr>
                <w:rFonts w:ascii="Arial" w:hAnsi="Arial" w:cs="Arial"/>
                <w:sz w:val="28"/>
                <w:szCs w:val="28"/>
              </w:rPr>
            </w:pPr>
          </w:p>
        </w:tc>
      </w:tr>
      <w:tr w:rsidR="009A6EBE" w:rsidRPr="009A6EBE" w14:paraId="3A739D2F" w14:textId="77777777" w:rsidTr="009A6EBE">
        <w:tc>
          <w:tcPr>
            <w:tcW w:w="1335" w:type="dxa"/>
          </w:tcPr>
          <w:p w14:paraId="2AA3730C" w14:textId="2DD66F0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1</w:t>
            </w:r>
          </w:p>
        </w:tc>
        <w:tc>
          <w:tcPr>
            <w:tcW w:w="1335" w:type="dxa"/>
          </w:tcPr>
          <w:p w14:paraId="5B814BB4" w14:textId="75A5E28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Liu et al. (2021), Two-dimensional materials for next-generation transistors. Tạp chí Nature Nanotechnology.</w:t>
            </w:r>
          </w:p>
        </w:tc>
        <w:tc>
          <w:tcPr>
            <w:tcW w:w="1336" w:type="dxa"/>
          </w:tcPr>
          <w:p w14:paraId="0A422903" w14:textId="6CFFE904"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khoa học (ISI)</w:t>
            </w:r>
          </w:p>
        </w:tc>
        <w:tc>
          <w:tcPr>
            <w:tcW w:w="1336" w:type="dxa"/>
          </w:tcPr>
          <w:p w14:paraId="272C0BCB" w14:textId="4D0A986F"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Tổng quan lý thuyết và thực nghiệm (Review paper).</w:t>
            </w:r>
          </w:p>
        </w:tc>
        <w:tc>
          <w:tcPr>
            <w:tcW w:w="1336" w:type="dxa"/>
          </w:tcPr>
          <w:p w14:paraId="5FCD2AF5" w14:textId="0F977FF4"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Phân tích toàn diện cơ chế vật lý lý tưởng của MoS2 ở quy mô nguyên tử. Trích dẫn cực cao (&gt;500).</w:t>
            </w:r>
          </w:p>
        </w:tc>
        <w:tc>
          <w:tcPr>
            <w:tcW w:w="1336" w:type="dxa"/>
          </w:tcPr>
          <w:p w14:paraId="5CF5EC64" w14:textId="2731742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Mang tính tổng quan rộng, chưa đi sâu vào giải pháp lỗi kỹ thuật cụ thể tại nhà máy.</w:t>
            </w:r>
          </w:p>
        </w:tc>
        <w:tc>
          <w:tcPr>
            <w:tcW w:w="1336" w:type="dxa"/>
          </w:tcPr>
          <w:p w14:paraId="617AAE0A" w14:textId="2F40D215"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Tuyệt đối tin cậy. Xếp hạng: Mức 4 (Xuất sắc)</w:t>
            </w:r>
          </w:p>
        </w:tc>
      </w:tr>
      <w:tr w:rsidR="009A6EBE" w:rsidRPr="009A6EBE" w14:paraId="1CE0E373" w14:textId="77777777" w:rsidTr="009A6EBE">
        <w:tc>
          <w:tcPr>
            <w:tcW w:w="1335" w:type="dxa"/>
          </w:tcPr>
          <w:p w14:paraId="0061EEF7" w14:textId="77777777" w:rsidR="009A6EBE" w:rsidRPr="009A6EBE" w:rsidRDefault="009A6EBE" w:rsidP="009A6EBE">
            <w:pPr>
              <w:spacing w:after="120"/>
              <w:jc w:val="both"/>
              <w:rPr>
                <w:rFonts w:ascii="Arial" w:hAnsi="Arial" w:cs="Arial"/>
                <w:sz w:val="28"/>
                <w:szCs w:val="28"/>
              </w:rPr>
            </w:pPr>
          </w:p>
        </w:tc>
        <w:tc>
          <w:tcPr>
            <w:tcW w:w="1335" w:type="dxa"/>
          </w:tcPr>
          <w:p w14:paraId="481939DE" w14:textId="77777777" w:rsidR="009A6EBE" w:rsidRPr="009A6EBE" w:rsidRDefault="009A6EBE" w:rsidP="009A6EBE">
            <w:pPr>
              <w:spacing w:after="120"/>
              <w:jc w:val="both"/>
              <w:rPr>
                <w:rFonts w:ascii="Arial" w:hAnsi="Arial" w:cs="Arial"/>
                <w:sz w:val="28"/>
                <w:szCs w:val="28"/>
              </w:rPr>
            </w:pPr>
          </w:p>
        </w:tc>
        <w:tc>
          <w:tcPr>
            <w:tcW w:w="1336" w:type="dxa"/>
          </w:tcPr>
          <w:p w14:paraId="0ACDE613" w14:textId="77777777" w:rsidR="009A6EBE" w:rsidRPr="009A6EBE" w:rsidRDefault="009A6EBE" w:rsidP="009A6EBE">
            <w:pPr>
              <w:spacing w:after="120"/>
              <w:jc w:val="both"/>
              <w:rPr>
                <w:rFonts w:ascii="Arial" w:hAnsi="Arial" w:cs="Arial"/>
                <w:sz w:val="28"/>
                <w:szCs w:val="28"/>
              </w:rPr>
            </w:pPr>
          </w:p>
        </w:tc>
        <w:tc>
          <w:tcPr>
            <w:tcW w:w="1336" w:type="dxa"/>
          </w:tcPr>
          <w:p w14:paraId="18002266" w14:textId="77777777" w:rsidR="009A6EBE" w:rsidRPr="009A6EBE" w:rsidRDefault="009A6EBE" w:rsidP="009A6EBE">
            <w:pPr>
              <w:spacing w:after="120"/>
              <w:jc w:val="both"/>
              <w:rPr>
                <w:rFonts w:ascii="Arial" w:hAnsi="Arial" w:cs="Arial"/>
                <w:sz w:val="28"/>
                <w:szCs w:val="28"/>
              </w:rPr>
            </w:pPr>
          </w:p>
        </w:tc>
        <w:tc>
          <w:tcPr>
            <w:tcW w:w="1336" w:type="dxa"/>
          </w:tcPr>
          <w:p w14:paraId="58345F12" w14:textId="77777777" w:rsidR="009A6EBE" w:rsidRPr="009A6EBE" w:rsidRDefault="009A6EBE" w:rsidP="009A6EBE">
            <w:pPr>
              <w:spacing w:after="120"/>
              <w:jc w:val="both"/>
              <w:rPr>
                <w:rFonts w:ascii="Arial" w:hAnsi="Arial" w:cs="Arial"/>
                <w:sz w:val="28"/>
                <w:szCs w:val="28"/>
              </w:rPr>
            </w:pPr>
          </w:p>
        </w:tc>
        <w:tc>
          <w:tcPr>
            <w:tcW w:w="1336" w:type="dxa"/>
          </w:tcPr>
          <w:p w14:paraId="6C302255" w14:textId="77777777" w:rsidR="009A6EBE" w:rsidRPr="009A6EBE" w:rsidRDefault="009A6EBE" w:rsidP="009A6EBE">
            <w:pPr>
              <w:spacing w:after="120"/>
              <w:jc w:val="both"/>
              <w:rPr>
                <w:rFonts w:ascii="Arial" w:hAnsi="Arial" w:cs="Arial"/>
                <w:sz w:val="28"/>
                <w:szCs w:val="28"/>
              </w:rPr>
            </w:pPr>
          </w:p>
        </w:tc>
        <w:tc>
          <w:tcPr>
            <w:tcW w:w="1336" w:type="dxa"/>
          </w:tcPr>
          <w:p w14:paraId="0DA20D32" w14:textId="77777777" w:rsidR="009A6EBE" w:rsidRPr="009A6EBE" w:rsidRDefault="009A6EBE" w:rsidP="009A6EBE">
            <w:pPr>
              <w:spacing w:after="120"/>
              <w:jc w:val="both"/>
              <w:rPr>
                <w:rFonts w:ascii="Arial" w:hAnsi="Arial" w:cs="Arial"/>
                <w:sz w:val="28"/>
                <w:szCs w:val="28"/>
              </w:rPr>
            </w:pPr>
          </w:p>
        </w:tc>
      </w:tr>
      <w:tr w:rsidR="009A6EBE" w:rsidRPr="009A6EBE" w14:paraId="7BF9F373" w14:textId="77777777" w:rsidTr="009A6EBE">
        <w:tc>
          <w:tcPr>
            <w:tcW w:w="1335" w:type="dxa"/>
          </w:tcPr>
          <w:p w14:paraId="7A8273A9" w14:textId="64C83D0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2</w:t>
            </w:r>
          </w:p>
        </w:tc>
        <w:tc>
          <w:tcPr>
            <w:tcW w:w="1335" w:type="dxa"/>
          </w:tcPr>
          <w:p w14:paraId="799C2622" w14:textId="7C332A3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Desai et al. (2023), Sub-5nm MoS2 Transistor Performance. Tạp chí Science.</w:t>
            </w:r>
          </w:p>
        </w:tc>
        <w:tc>
          <w:tcPr>
            <w:tcW w:w="1336" w:type="dxa"/>
          </w:tcPr>
          <w:p w14:paraId="766FDD69" w14:textId="5C1ECA5C"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khoa học (ISI)</w:t>
            </w:r>
          </w:p>
        </w:tc>
        <w:tc>
          <w:tcPr>
            <w:tcW w:w="1336" w:type="dxa"/>
          </w:tcPr>
          <w:p w14:paraId="3C8DF71C" w14:textId="2C89D56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Thực nghiệm chế tạo phòng thí nghiệm kết hợp đo đạc thông số dòng điện.</w:t>
            </w:r>
          </w:p>
        </w:tc>
        <w:tc>
          <w:tcPr>
            <w:tcW w:w="1336" w:type="dxa"/>
          </w:tcPr>
          <w:p w14:paraId="2D4DD1A7" w14:textId="638050BA"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xml:space="preserve">Chứng minh thực tế MoS2 có thể vượt qua giới hạn dòng rò của </w:t>
            </w:r>
            <w:r w:rsidRPr="009A6EBE">
              <w:rPr>
                <w:rFonts w:ascii="Arial" w:hAnsi="Arial" w:cs="Arial"/>
                <w:sz w:val="28"/>
                <w:szCs w:val="28"/>
              </w:rPr>
              <w:lastRenderedPageBreak/>
              <w:t>Silicon ở tiến trình 1 nm.</w:t>
            </w:r>
          </w:p>
        </w:tc>
        <w:tc>
          <w:tcPr>
            <w:tcW w:w="1336" w:type="dxa"/>
          </w:tcPr>
          <w:p w14:paraId="1D70BD66" w14:textId="129F0B1E"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lastRenderedPageBreak/>
              <w:t xml:space="preserve">Chi phí chế tạo thực nghiệm quá cao, môi trường phòng sạch siêu tiêu chuẩn, </w:t>
            </w:r>
            <w:r w:rsidRPr="009A6EBE">
              <w:rPr>
                <w:rFonts w:ascii="Arial" w:hAnsi="Arial" w:cs="Arial"/>
                <w:sz w:val="28"/>
                <w:szCs w:val="28"/>
              </w:rPr>
              <w:lastRenderedPageBreak/>
              <w:t>khó sao chép đại trà.</w:t>
            </w:r>
          </w:p>
        </w:tc>
        <w:tc>
          <w:tcPr>
            <w:tcW w:w="1336" w:type="dxa"/>
          </w:tcPr>
          <w:p w14:paraId="091EC1B5" w14:textId="7A7A31BF"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lastRenderedPageBreak/>
              <w:t xml:space="preserve">Tuyệt đối tin cậy. Xếp hạng: Mức 4 </w:t>
            </w:r>
            <w:r w:rsidRPr="009A6EBE">
              <w:rPr>
                <w:rFonts w:ascii="Arial" w:hAnsi="Arial" w:cs="Arial"/>
                <w:sz w:val="28"/>
                <w:szCs w:val="28"/>
              </w:rPr>
              <w:lastRenderedPageBreak/>
              <w:t>(Xuất sắc)</w:t>
            </w:r>
          </w:p>
        </w:tc>
      </w:tr>
      <w:tr w:rsidR="009A6EBE" w:rsidRPr="009A6EBE" w14:paraId="051EFAFF" w14:textId="77777777" w:rsidTr="009A6EBE">
        <w:tc>
          <w:tcPr>
            <w:tcW w:w="1335" w:type="dxa"/>
          </w:tcPr>
          <w:p w14:paraId="3EFD738B" w14:textId="77777777" w:rsidR="009A6EBE" w:rsidRPr="009A6EBE" w:rsidRDefault="009A6EBE" w:rsidP="009A6EBE">
            <w:pPr>
              <w:spacing w:after="120"/>
              <w:jc w:val="both"/>
              <w:rPr>
                <w:rFonts w:ascii="Arial" w:hAnsi="Arial" w:cs="Arial"/>
                <w:sz w:val="28"/>
                <w:szCs w:val="28"/>
              </w:rPr>
            </w:pPr>
          </w:p>
        </w:tc>
        <w:tc>
          <w:tcPr>
            <w:tcW w:w="1335" w:type="dxa"/>
          </w:tcPr>
          <w:p w14:paraId="1C468393" w14:textId="77777777" w:rsidR="009A6EBE" w:rsidRPr="009A6EBE" w:rsidRDefault="009A6EBE" w:rsidP="009A6EBE">
            <w:pPr>
              <w:spacing w:after="120"/>
              <w:jc w:val="both"/>
              <w:rPr>
                <w:rFonts w:ascii="Arial" w:hAnsi="Arial" w:cs="Arial"/>
                <w:sz w:val="28"/>
                <w:szCs w:val="28"/>
              </w:rPr>
            </w:pPr>
          </w:p>
        </w:tc>
        <w:tc>
          <w:tcPr>
            <w:tcW w:w="1336" w:type="dxa"/>
          </w:tcPr>
          <w:p w14:paraId="58325D57" w14:textId="77777777" w:rsidR="009A6EBE" w:rsidRPr="009A6EBE" w:rsidRDefault="009A6EBE" w:rsidP="009A6EBE">
            <w:pPr>
              <w:spacing w:after="120"/>
              <w:jc w:val="both"/>
              <w:rPr>
                <w:rFonts w:ascii="Arial" w:hAnsi="Arial" w:cs="Arial"/>
                <w:sz w:val="28"/>
                <w:szCs w:val="28"/>
              </w:rPr>
            </w:pPr>
          </w:p>
        </w:tc>
        <w:tc>
          <w:tcPr>
            <w:tcW w:w="1336" w:type="dxa"/>
          </w:tcPr>
          <w:p w14:paraId="1F33C2A0" w14:textId="77777777" w:rsidR="009A6EBE" w:rsidRPr="009A6EBE" w:rsidRDefault="009A6EBE" w:rsidP="009A6EBE">
            <w:pPr>
              <w:spacing w:after="120"/>
              <w:jc w:val="both"/>
              <w:rPr>
                <w:rFonts w:ascii="Arial" w:hAnsi="Arial" w:cs="Arial"/>
                <w:sz w:val="28"/>
                <w:szCs w:val="28"/>
              </w:rPr>
            </w:pPr>
          </w:p>
        </w:tc>
        <w:tc>
          <w:tcPr>
            <w:tcW w:w="1336" w:type="dxa"/>
          </w:tcPr>
          <w:p w14:paraId="1FBE3CCF" w14:textId="77777777" w:rsidR="009A6EBE" w:rsidRPr="009A6EBE" w:rsidRDefault="009A6EBE" w:rsidP="009A6EBE">
            <w:pPr>
              <w:spacing w:after="120"/>
              <w:jc w:val="both"/>
              <w:rPr>
                <w:rFonts w:ascii="Arial" w:hAnsi="Arial" w:cs="Arial"/>
                <w:sz w:val="28"/>
                <w:szCs w:val="28"/>
              </w:rPr>
            </w:pPr>
          </w:p>
        </w:tc>
        <w:tc>
          <w:tcPr>
            <w:tcW w:w="1336" w:type="dxa"/>
          </w:tcPr>
          <w:p w14:paraId="602F8C04" w14:textId="77777777" w:rsidR="009A6EBE" w:rsidRPr="009A6EBE" w:rsidRDefault="009A6EBE" w:rsidP="009A6EBE">
            <w:pPr>
              <w:spacing w:after="120"/>
              <w:jc w:val="both"/>
              <w:rPr>
                <w:rFonts w:ascii="Arial" w:hAnsi="Arial" w:cs="Arial"/>
                <w:sz w:val="28"/>
                <w:szCs w:val="28"/>
              </w:rPr>
            </w:pPr>
          </w:p>
        </w:tc>
        <w:tc>
          <w:tcPr>
            <w:tcW w:w="1336" w:type="dxa"/>
          </w:tcPr>
          <w:p w14:paraId="1B1B65D9" w14:textId="77777777" w:rsidR="009A6EBE" w:rsidRPr="009A6EBE" w:rsidRDefault="009A6EBE" w:rsidP="009A6EBE">
            <w:pPr>
              <w:spacing w:after="120"/>
              <w:jc w:val="both"/>
              <w:rPr>
                <w:rFonts w:ascii="Arial" w:hAnsi="Arial" w:cs="Arial"/>
                <w:sz w:val="28"/>
                <w:szCs w:val="28"/>
              </w:rPr>
            </w:pPr>
          </w:p>
        </w:tc>
      </w:tr>
      <w:tr w:rsidR="009A6EBE" w:rsidRPr="009A6EBE" w14:paraId="5E70FF65" w14:textId="77777777" w:rsidTr="009A6EBE">
        <w:tc>
          <w:tcPr>
            <w:tcW w:w="1335" w:type="dxa"/>
          </w:tcPr>
          <w:p w14:paraId="108FAEDA" w14:textId="3CD360E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3</w:t>
            </w:r>
          </w:p>
        </w:tc>
        <w:tc>
          <w:tcPr>
            <w:tcW w:w="1335" w:type="dxa"/>
          </w:tcPr>
          <w:p w14:paraId="7333AD18" w14:textId="73C3A35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Radisavljevic &amp; Kis (2022), Mobility engineering in single-layer MoS2. Tạp chí Nature Materials.</w:t>
            </w:r>
          </w:p>
        </w:tc>
        <w:tc>
          <w:tcPr>
            <w:tcW w:w="1336" w:type="dxa"/>
          </w:tcPr>
          <w:p w14:paraId="20847200" w14:textId="5949C9B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khoa học (ISI)</w:t>
            </w:r>
          </w:p>
        </w:tc>
        <w:tc>
          <w:tcPr>
            <w:tcW w:w="1336" w:type="dxa"/>
          </w:tcPr>
          <w:p w14:paraId="14161C48" w14:textId="592DE7B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Mô phỏng vật lý lượng tử lượng mô tả độ linh động hạt tải điện (Mobility).</w:t>
            </w:r>
          </w:p>
        </w:tc>
        <w:tc>
          <w:tcPr>
            <w:tcW w:w="1336" w:type="dxa"/>
          </w:tcPr>
          <w:p w14:paraId="2F47A510" w14:textId="1537D31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Giải quyết chuyên sâu bài toán cải thiện độ linh động của điện tử trong lớp đơn MoS2.</w:t>
            </w:r>
          </w:p>
        </w:tc>
        <w:tc>
          <w:tcPr>
            <w:tcW w:w="1336" w:type="dxa"/>
          </w:tcPr>
          <w:p w14:paraId="6A942569" w14:textId="2908C9A5"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Sử dụng nhiều giả định toán lý lý tưởng, có sai số nhất định so với linh kiện thực tế.</w:t>
            </w:r>
          </w:p>
        </w:tc>
        <w:tc>
          <w:tcPr>
            <w:tcW w:w="1336" w:type="dxa"/>
          </w:tcPr>
          <w:p w14:paraId="506C1BBD" w14:textId="512C99F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4 (Xuất sắc)</w:t>
            </w:r>
          </w:p>
        </w:tc>
      </w:tr>
      <w:tr w:rsidR="009A6EBE" w:rsidRPr="009A6EBE" w14:paraId="09AB9D6A" w14:textId="77777777" w:rsidTr="009A6EBE">
        <w:tc>
          <w:tcPr>
            <w:tcW w:w="1335" w:type="dxa"/>
          </w:tcPr>
          <w:p w14:paraId="3002A873" w14:textId="77777777" w:rsidR="009A6EBE" w:rsidRPr="009A6EBE" w:rsidRDefault="009A6EBE" w:rsidP="009A6EBE">
            <w:pPr>
              <w:spacing w:after="120"/>
              <w:jc w:val="both"/>
              <w:rPr>
                <w:rFonts w:ascii="Arial" w:hAnsi="Arial" w:cs="Arial"/>
                <w:sz w:val="28"/>
                <w:szCs w:val="28"/>
              </w:rPr>
            </w:pPr>
          </w:p>
        </w:tc>
        <w:tc>
          <w:tcPr>
            <w:tcW w:w="1335" w:type="dxa"/>
          </w:tcPr>
          <w:p w14:paraId="710506B0" w14:textId="77777777" w:rsidR="009A6EBE" w:rsidRPr="009A6EBE" w:rsidRDefault="009A6EBE" w:rsidP="009A6EBE">
            <w:pPr>
              <w:spacing w:after="120"/>
              <w:jc w:val="both"/>
              <w:rPr>
                <w:rFonts w:ascii="Arial" w:hAnsi="Arial" w:cs="Arial"/>
                <w:sz w:val="28"/>
                <w:szCs w:val="28"/>
              </w:rPr>
            </w:pPr>
          </w:p>
        </w:tc>
        <w:tc>
          <w:tcPr>
            <w:tcW w:w="1336" w:type="dxa"/>
          </w:tcPr>
          <w:p w14:paraId="68DE6FA4" w14:textId="77777777" w:rsidR="009A6EBE" w:rsidRPr="009A6EBE" w:rsidRDefault="009A6EBE" w:rsidP="009A6EBE">
            <w:pPr>
              <w:spacing w:after="120"/>
              <w:jc w:val="both"/>
              <w:rPr>
                <w:rFonts w:ascii="Arial" w:hAnsi="Arial" w:cs="Arial"/>
                <w:sz w:val="28"/>
                <w:szCs w:val="28"/>
              </w:rPr>
            </w:pPr>
          </w:p>
        </w:tc>
        <w:tc>
          <w:tcPr>
            <w:tcW w:w="1336" w:type="dxa"/>
          </w:tcPr>
          <w:p w14:paraId="386DE163" w14:textId="77777777" w:rsidR="009A6EBE" w:rsidRPr="009A6EBE" w:rsidRDefault="009A6EBE" w:rsidP="009A6EBE">
            <w:pPr>
              <w:spacing w:after="120"/>
              <w:jc w:val="both"/>
              <w:rPr>
                <w:rFonts w:ascii="Arial" w:hAnsi="Arial" w:cs="Arial"/>
                <w:sz w:val="28"/>
                <w:szCs w:val="28"/>
              </w:rPr>
            </w:pPr>
          </w:p>
        </w:tc>
        <w:tc>
          <w:tcPr>
            <w:tcW w:w="1336" w:type="dxa"/>
          </w:tcPr>
          <w:p w14:paraId="6A6C61A3" w14:textId="77777777" w:rsidR="009A6EBE" w:rsidRPr="009A6EBE" w:rsidRDefault="009A6EBE" w:rsidP="009A6EBE">
            <w:pPr>
              <w:spacing w:after="120"/>
              <w:jc w:val="both"/>
              <w:rPr>
                <w:rFonts w:ascii="Arial" w:hAnsi="Arial" w:cs="Arial"/>
                <w:sz w:val="28"/>
                <w:szCs w:val="28"/>
              </w:rPr>
            </w:pPr>
          </w:p>
        </w:tc>
        <w:tc>
          <w:tcPr>
            <w:tcW w:w="1336" w:type="dxa"/>
          </w:tcPr>
          <w:p w14:paraId="5AEA9FC7" w14:textId="77777777" w:rsidR="009A6EBE" w:rsidRPr="009A6EBE" w:rsidRDefault="009A6EBE" w:rsidP="009A6EBE">
            <w:pPr>
              <w:spacing w:after="120"/>
              <w:jc w:val="both"/>
              <w:rPr>
                <w:rFonts w:ascii="Arial" w:hAnsi="Arial" w:cs="Arial"/>
                <w:sz w:val="28"/>
                <w:szCs w:val="28"/>
              </w:rPr>
            </w:pPr>
          </w:p>
        </w:tc>
        <w:tc>
          <w:tcPr>
            <w:tcW w:w="1336" w:type="dxa"/>
          </w:tcPr>
          <w:p w14:paraId="76006EE7" w14:textId="77777777" w:rsidR="009A6EBE" w:rsidRPr="009A6EBE" w:rsidRDefault="009A6EBE" w:rsidP="009A6EBE">
            <w:pPr>
              <w:spacing w:after="120"/>
              <w:jc w:val="both"/>
              <w:rPr>
                <w:rFonts w:ascii="Arial" w:hAnsi="Arial" w:cs="Arial"/>
                <w:sz w:val="28"/>
                <w:szCs w:val="28"/>
              </w:rPr>
            </w:pPr>
          </w:p>
        </w:tc>
      </w:tr>
      <w:tr w:rsidR="009A6EBE" w:rsidRPr="009A6EBE" w14:paraId="1FC8CF85" w14:textId="77777777" w:rsidTr="009A6EBE">
        <w:tc>
          <w:tcPr>
            <w:tcW w:w="1335" w:type="dxa"/>
          </w:tcPr>
          <w:p w14:paraId="17C2AAFA" w14:textId="371C0042"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4</w:t>
            </w:r>
          </w:p>
        </w:tc>
        <w:tc>
          <w:tcPr>
            <w:tcW w:w="1335" w:type="dxa"/>
          </w:tcPr>
          <w:p w14:paraId="2225E687" w14:textId="45057AC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Schwierz et al. (2024), Two-Dimensional Electronics. Nhà xuất bản Wiley-VCH.</w:t>
            </w:r>
          </w:p>
        </w:tc>
        <w:tc>
          <w:tcPr>
            <w:tcW w:w="1336" w:type="dxa"/>
          </w:tcPr>
          <w:p w14:paraId="23099B3E" w14:textId="6A2C74A9"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Sách chuyên khảo</w:t>
            </w:r>
          </w:p>
        </w:tc>
        <w:tc>
          <w:tcPr>
            <w:tcW w:w="1336" w:type="dxa"/>
          </w:tcPr>
          <w:p w14:paraId="429556F7" w14:textId="62BEFC52"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Hệ thống hóa toàn bộ lý thuyết vật lý chất rắn và kỹ thuật linh kiện 2D.</w:t>
            </w:r>
          </w:p>
        </w:tc>
        <w:tc>
          <w:tcPr>
            <w:tcW w:w="1336" w:type="dxa"/>
          </w:tcPr>
          <w:p w14:paraId="76361978" w14:textId="3E89165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xml:space="preserve">Cấu trúc kiến thức logic, nền tảng lý thuyết vô cùng chặt chẽ, phù hợp làm giáo </w:t>
            </w:r>
            <w:r w:rsidRPr="009A6EBE">
              <w:rPr>
                <w:rFonts w:ascii="Arial" w:hAnsi="Arial" w:cs="Arial"/>
                <w:sz w:val="28"/>
                <w:szCs w:val="28"/>
              </w:rPr>
              <w:lastRenderedPageBreak/>
              <w:t>trình chuẩn.</w:t>
            </w:r>
          </w:p>
        </w:tc>
        <w:tc>
          <w:tcPr>
            <w:tcW w:w="1336" w:type="dxa"/>
          </w:tcPr>
          <w:p w14:paraId="147C0556" w14:textId="0A6CDB26"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lastRenderedPageBreak/>
              <w:t>Tốc độ cập nhật chậm hơn các bài báo báo cáo hội nghị chuyên ngành (vừa xuất bản năm 2024).</w:t>
            </w:r>
          </w:p>
        </w:tc>
        <w:tc>
          <w:tcPr>
            <w:tcW w:w="1336" w:type="dxa"/>
          </w:tcPr>
          <w:p w14:paraId="74E567B7" w14:textId="0D2003B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3 (Tốt)</w:t>
            </w:r>
          </w:p>
        </w:tc>
      </w:tr>
      <w:tr w:rsidR="009A6EBE" w:rsidRPr="009A6EBE" w14:paraId="5C2BF08C" w14:textId="77777777" w:rsidTr="009A6EBE">
        <w:tc>
          <w:tcPr>
            <w:tcW w:w="1335" w:type="dxa"/>
          </w:tcPr>
          <w:p w14:paraId="75CDD47D" w14:textId="77777777" w:rsidR="009A6EBE" w:rsidRPr="009A6EBE" w:rsidRDefault="009A6EBE" w:rsidP="009A6EBE">
            <w:pPr>
              <w:spacing w:after="120"/>
              <w:jc w:val="both"/>
              <w:rPr>
                <w:rFonts w:ascii="Arial" w:hAnsi="Arial" w:cs="Arial"/>
                <w:sz w:val="28"/>
                <w:szCs w:val="28"/>
              </w:rPr>
            </w:pPr>
          </w:p>
        </w:tc>
        <w:tc>
          <w:tcPr>
            <w:tcW w:w="1335" w:type="dxa"/>
          </w:tcPr>
          <w:p w14:paraId="745DC1EF" w14:textId="77777777" w:rsidR="009A6EBE" w:rsidRPr="009A6EBE" w:rsidRDefault="009A6EBE" w:rsidP="009A6EBE">
            <w:pPr>
              <w:spacing w:after="120"/>
              <w:jc w:val="both"/>
              <w:rPr>
                <w:rFonts w:ascii="Arial" w:hAnsi="Arial" w:cs="Arial"/>
                <w:sz w:val="28"/>
                <w:szCs w:val="28"/>
              </w:rPr>
            </w:pPr>
          </w:p>
        </w:tc>
        <w:tc>
          <w:tcPr>
            <w:tcW w:w="1336" w:type="dxa"/>
          </w:tcPr>
          <w:p w14:paraId="4BE5D7D9" w14:textId="77777777" w:rsidR="009A6EBE" w:rsidRPr="009A6EBE" w:rsidRDefault="009A6EBE" w:rsidP="009A6EBE">
            <w:pPr>
              <w:spacing w:after="120"/>
              <w:jc w:val="both"/>
              <w:rPr>
                <w:rFonts w:ascii="Arial" w:hAnsi="Arial" w:cs="Arial"/>
                <w:sz w:val="28"/>
                <w:szCs w:val="28"/>
              </w:rPr>
            </w:pPr>
          </w:p>
        </w:tc>
        <w:tc>
          <w:tcPr>
            <w:tcW w:w="1336" w:type="dxa"/>
          </w:tcPr>
          <w:p w14:paraId="4B967A92" w14:textId="77777777" w:rsidR="009A6EBE" w:rsidRPr="009A6EBE" w:rsidRDefault="009A6EBE" w:rsidP="009A6EBE">
            <w:pPr>
              <w:spacing w:after="120"/>
              <w:jc w:val="both"/>
              <w:rPr>
                <w:rFonts w:ascii="Arial" w:hAnsi="Arial" w:cs="Arial"/>
                <w:sz w:val="28"/>
                <w:szCs w:val="28"/>
              </w:rPr>
            </w:pPr>
          </w:p>
        </w:tc>
        <w:tc>
          <w:tcPr>
            <w:tcW w:w="1336" w:type="dxa"/>
          </w:tcPr>
          <w:p w14:paraId="66E90B9A" w14:textId="77777777" w:rsidR="009A6EBE" w:rsidRPr="009A6EBE" w:rsidRDefault="009A6EBE" w:rsidP="009A6EBE">
            <w:pPr>
              <w:spacing w:after="120"/>
              <w:jc w:val="both"/>
              <w:rPr>
                <w:rFonts w:ascii="Arial" w:hAnsi="Arial" w:cs="Arial"/>
                <w:sz w:val="28"/>
                <w:szCs w:val="28"/>
              </w:rPr>
            </w:pPr>
          </w:p>
        </w:tc>
        <w:tc>
          <w:tcPr>
            <w:tcW w:w="1336" w:type="dxa"/>
          </w:tcPr>
          <w:p w14:paraId="156F079D" w14:textId="77777777" w:rsidR="009A6EBE" w:rsidRPr="009A6EBE" w:rsidRDefault="009A6EBE" w:rsidP="009A6EBE">
            <w:pPr>
              <w:spacing w:after="120"/>
              <w:jc w:val="both"/>
              <w:rPr>
                <w:rFonts w:ascii="Arial" w:hAnsi="Arial" w:cs="Arial"/>
                <w:sz w:val="28"/>
                <w:szCs w:val="28"/>
              </w:rPr>
            </w:pPr>
          </w:p>
        </w:tc>
        <w:tc>
          <w:tcPr>
            <w:tcW w:w="1336" w:type="dxa"/>
          </w:tcPr>
          <w:p w14:paraId="5F83BE64" w14:textId="77777777" w:rsidR="009A6EBE" w:rsidRPr="009A6EBE" w:rsidRDefault="009A6EBE" w:rsidP="009A6EBE">
            <w:pPr>
              <w:spacing w:after="120"/>
              <w:jc w:val="both"/>
              <w:rPr>
                <w:rFonts w:ascii="Arial" w:hAnsi="Arial" w:cs="Arial"/>
                <w:sz w:val="28"/>
                <w:szCs w:val="28"/>
              </w:rPr>
            </w:pPr>
          </w:p>
        </w:tc>
      </w:tr>
      <w:tr w:rsidR="009A6EBE" w:rsidRPr="009A6EBE" w14:paraId="0A0BAC7B" w14:textId="77777777" w:rsidTr="009A6EBE">
        <w:tc>
          <w:tcPr>
            <w:tcW w:w="1335" w:type="dxa"/>
          </w:tcPr>
          <w:p w14:paraId="1CB80C1E" w14:textId="203B653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5</w:t>
            </w:r>
          </w:p>
        </w:tc>
        <w:tc>
          <w:tcPr>
            <w:tcW w:w="1335" w:type="dxa"/>
          </w:tcPr>
          <w:p w14:paraId="5BB5ABE5" w14:textId="6D65CAC6"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IMEC Research Institute (2025), Roadmap for 2D Materials in CMOS integration. Báo cáo Kỹ thuật IMEC.</w:t>
            </w:r>
          </w:p>
        </w:tc>
        <w:tc>
          <w:tcPr>
            <w:tcW w:w="1336" w:type="dxa"/>
          </w:tcPr>
          <w:p w14:paraId="63905797" w14:textId="0E8FD2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Nguồn mở Internet (Viện nghiên cứu)</w:t>
            </w:r>
          </w:p>
        </w:tc>
        <w:tc>
          <w:tcPr>
            <w:tcW w:w="1336" w:type="dxa"/>
          </w:tcPr>
          <w:p w14:paraId="337D2F2C" w14:textId="4AD7DF3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Nghiên cứu ứng dụng và xây dựng lộ trình công nghệ (Roadmap).</w:t>
            </w:r>
          </w:p>
        </w:tc>
        <w:tc>
          <w:tcPr>
            <w:tcW w:w="1336" w:type="dxa"/>
          </w:tcPr>
          <w:p w14:paraId="6487735D" w14:textId="31A70D5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Cung cấp cái nhìn thực tế về việc tích hợp MoS2 vào dây chuyền sản xuất chip Silicon hiện tại.</w:t>
            </w:r>
          </w:p>
        </w:tc>
        <w:tc>
          <w:tcPr>
            <w:tcW w:w="1336" w:type="dxa"/>
          </w:tcPr>
          <w:p w14:paraId="3B61A275" w14:textId="4CCBEC2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Ít tập trung vào các công thức tính toán cơ học lượng tử thuần túy.</w:t>
            </w:r>
          </w:p>
        </w:tc>
        <w:tc>
          <w:tcPr>
            <w:tcW w:w="1336" w:type="dxa"/>
          </w:tcPr>
          <w:p w14:paraId="2BA23D05" w14:textId="46304D9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4 (Xuất sắc)</w:t>
            </w:r>
          </w:p>
        </w:tc>
      </w:tr>
      <w:tr w:rsidR="009A6EBE" w:rsidRPr="009A6EBE" w14:paraId="4D183E92" w14:textId="77777777" w:rsidTr="009A6EBE">
        <w:tc>
          <w:tcPr>
            <w:tcW w:w="1335" w:type="dxa"/>
          </w:tcPr>
          <w:p w14:paraId="7CE49EFB" w14:textId="77777777" w:rsidR="009A6EBE" w:rsidRPr="009A6EBE" w:rsidRDefault="009A6EBE" w:rsidP="009A6EBE">
            <w:pPr>
              <w:spacing w:after="120"/>
              <w:jc w:val="both"/>
              <w:rPr>
                <w:rFonts w:ascii="Arial" w:hAnsi="Arial" w:cs="Arial"/>
                <w:sz w:val="28"/>
                <w:szCs w:val="28"/>
              </w:rPr>
            </w:pPr>
          </w:p>
        </w:tc>
        <w:tc>
          <w:tcPr>
            <w:tcW w:w="1335" w:type="dxa"/>
          </w:tcPr>
          <w:p w14:paraId="69B3FB24" w14:textId="77777777" w:rsidR="009A6EBE" w:rsidRPr="009A6EBE" w:rsidRDefault="009A6EBE" w:rsidP="009A6EBE">
            <w:pPr>
              <w:spacing w:after="120"/>
              <w:jc w:val="both"/>
              <w:rPr>
                <w:rFonts w:ascii="Arial" w:hAnsi="Arial" w:cs="Arial"/>
                <w:sz w:val="28"/>
                <w:szCs w:val="28"/>
              </w:rPr>
            </w:pPr>
          </w:p>
        </w:tc>
        <w:tc>
          <w:tcPr>
            <w:tcW w:w="1336" w:type="dxa"/>
          </w:tcPr>
          <w:p w14:paraId="38B68CF0" w14:textId="77777777" w:rsidR="009A6EBE" w:rsidRPr="009A6EBE" w:rsidRDefault="009A6EBE" w:rsidP="009A6EBE">
            <w:pPr>
              <w:spacing w:after="120"/>
              <w:jc w:val="both"/>
              <w:rPr>
                <w:rFonts w:ascii="Arial" w:hAnsi="Arial" w:cs="Arial"/>
                <w:sz w:val="28"/>
                <w:szCs w:val="28"/>
              </w:rPr>
            </w:pPr>
          </w:p>
        </w:tc>
        <w:tc>
          <w:tcPr>
            <w:tcW w:w="1336" w:type="dxa"/>
          </w:tcPr>
          <w:p w14:paraId="4E49AC80" w14:textId="77777777" w:rsidR="009A6EBE" w:rsidRPr="009A6EBE" w:rsidRDefault="009A6EBE" w:rsidP="009A6EBE">
            <w:pPr>
              <w:spacing w:after="120"/>
              <w:jc w:val="both"/>
              <w:rPr>
                <w:rFonts w:ascii="Arial" w:hAnsi="Arial" w:cs="Arial"/>
                <w:sz w:val="28"/>
                <w:szCs w:val="28"/>
              </w:rPr>
            </w:pPr>
          </w:p>
        </w:tc>
        <w:tc>
          <w:tcPr>
            <w:tcW w:w="1336" w:type="dxa"/>
          </w:tcPr>
          <w:p w14:paraId="7B6B981E" w14:textId="77777777" w:rsidR="009A6EBE" w:rsidRPr="009A6EBE" w:rsidRDefault="009A6EBE" w:rsidP="009A6EBE">
            <w:pPr>
              <w:spacing w:after="120"/>
              <w:jc w:val="both"/>
              <w:rPr>
                <w:rFonts w:ascii="Arial" w:hAnsi="Arial" w:cs="Arial"/>
                <w:sz w:val="28"/>
                <w:szCs w:val="28"/>
              </w:rPr>
            </w:pPr>
          </w:p>
        </w:tc>
        <w:tc>
          <w:tcPr>
            <w:tcW w:w="1336" w:type="dxa"/>
          </w:tcPr>
          <w:p w14:paraId="69B7AD22" w14:textId="77777777" w:rsidR="009A6EBE" w:rsidRPr="009A6EBE" w:rsidRDefault="009A6EBE" w:rsidP="009A6EBE">
            <w:pPr>
              <w:spacing w:after="120"/>
              <w:jc w:val="both"/>
              <w:rPr>
                <w:rFonts w:ascii="Arial" w:hAnsi="Arial" w:cs="Arial"/>
                <w:sz w:val="28"/>
                <w:szCs w:val="28"/>
              </w:rPr>
            </w:pPr>
          </w:p>
        </w:tc>
        <w:tc>
          <w:tcPr>
            <w:tcW w:w="1336" w:type="dxa"/>
          </w:tcPr>
          <w:p w14:paraId="4679E378" w14:textId="77777777" w:rsidR="009A6EBE" w:rsidRPr="009A6EBE" w:rsidRDefault="009A6EBE" w:rsidP="009A6EBE">
            <w:pPr>
              <w:spacing w:after="120"/>
              <w:jc w:val="both"/>
              <w:rPr>
                <w:rFonts w:ascii="Arial" w:hAnsi="Arial" w:cs="Arial"/>
                <w:sz w:val="28"/>
                <w:szCs w:val="28"/>
              </w:rPr>
            </w:pPr>
          </w:p>
        </w:tc>
      </w:tr>
      <w:tr w:rsidR="009A6EBE" w:rsidRPr="009A6EBE" w14:paraId="53456DA2" w14:textId="77777777" w:rsidTr="009A6EBE">
        <w:tc>
          <w:tcPr>
            <w:tcW w:w="1335" w:type="dxa"/>
          </w:tcPr>
          <w:p w14:paraId="362547EC" w14:textId="461D927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6</w:t>
            </w:r>
          </w:p>
        </w:tc>
        <w:tc>
          <w:tcPr>
            <w:tcW w:w="1335" w:type="dxa"/>
          </w:tcPr>
          <w:p w14:paraId="4F44FD41" w14:textId="7838CEB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Kim et al. (2023), Contact resistance reduction techniques in MoS2 FETs. Tạp chí IEEE Transactions on Electron Devices.</w:t>
            </w:r>
          </w:p>
        </w:tc>
        <w:tc>
          <w:tcPr>
            <w:tcW w:w="1336" w:type="dxa"/>
          </w:tcPr>
          <w:p w14:paraId="24B47C42" w14:textId="5B6625C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khoa học (Scopus)</w:t>
            </w:r>
          </w:p>
        </w:tc>
        <w:tc>
          <w:tcPr>
            <w:tcW w:w="1336" w:type="dxa"/>
          </w:tcPr>
          <w:p w14:paraId="3B0FBB0E" w14:textId="6EC4DE0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Mô phỏng số thông qua phần mềm TCAD kết hợp thực nghiệm cơ bản.</w:t>
            </w:r>
          </w:p>
        </w:tc>
        <w:tc>
          <w:tcPr>
            <w:tcW w:w="1336" w:type="dxa"/>
          </w:tcPr>
          <w:p w14:paraId="6587E213" w14:textId="4AD95D9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Tập trung xử lý điểm nghẽn lớn nhất: Điện trở tiếp xúc giữa kim loại và bán dẫn 2D.</w:t>
            </w:r>
          </w:p>
        </w:tc>
        <w:tc>
          <w:tcPr>
            <w:tcW w:w="1336" w:type="dxa"/>
          </w:tcPr>
          <w:p w14:paraId="28F8D283" w14:textId="5F51149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Phạm vi hẹp, chỉ tập trung vào cấu trúc lớp tiếp xúc (Contact layer).</w:t>
            </w:r>
          </w:p>
        </w:tc>
        <w:tc>
          <w:tcPr>
            <w:tcW w:w="1336" w:type="dxa"/>
          </w:tcPr>
          <w:p w14:paraId="6CB0BCBC" w14:textId="4490C3F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3 (Tốt)</w:t>
            </w:r>
          </w:p>
        </w:tc>
      </w:tr>
      <w:tr w:rsidR="009A6EBE" w:rsidRPr="009A6EBE" w14:paraId="1F0C7554" w14:textId="77777777" w:rsidTr="009A6EBE">
        <w:tc>
          <w:tcPr>
            <w:tcW w:w="1335" w:type="dxa"/>
          </w:tcPr>
          <w:p w14:paraId="298BCB13" w14:textId="77777777" w:rsidR="009A6EBE" w:rsidRPr="009A6EBE" w:rsidRDefault="009A6EBE" w:rsidP="009A6EBE">
            <w:pPr>
              <w:spacing w:after="120"/>
              <w:jc w:val="both"/>
              <w:rPr>
                <w:rFonts w:ascii="Arial" w:hAnsi="Arial" w:cs="Arial"/>
                <w:sz w:val="28"/>
                <w:szCs w:val="28"/>
              </w:rPr>
            </w:pPr>
          </w:p>
        </w:tc>
        <w:tc>
          <w:tcPr>
            <w:tcW w:w="1335" w:type="dxa"/>
          </w:tcPr>
          <w:p w14:paraId="72FA6EF7" w14:textId="77777777" w:rsidR="009A6EBE" w:rsidRPr="009A6EBE" w:rsidRDefault="009A6EBE" w:rsidP="009A6EBE">
            <w:pPr>
              <w:spacing w:after="120"/>
              <w:jc w:val="both"/>
              <w:rPr>
                <w:rFonts w:ascii="Arial" w:hAnsi="Arial" w:cs="Arial"/>
                <w:sz w:val="28"/>
                <w:szCs w:val="28"/>
              </w:rPr>
            </w:pPr>
          </w:p>
        </w:tc>
        <w:tc>
          <w:tcPr>
            <w:tcW w:w="1336" w:type="dxa"/>
          </w:tcPr>
          <w:p w14:paraId="0C7FFC7C" w14:textId="77777777" w:rsidR="009A6EBE" w:rsidRPr="009A6EBE" w:rsidRDefault="009A6EBE" w:rsidP="009A6EBE">
            <w:pPr>
              <w:spacing w:after="120"/>
              <w:jc w:val="both"/>
              <w:rPr>
                <w:rFonts w:ascii="Arial" w:hAnsi="Arial" w:cs="Arial"/>
                <w:sz w:val="28"/>
                <w:szCs w:val="28"/>
              </w:rPr>
            </w:pPr>
          </w:p>
        </w:tc>
        <w:tc>
          <w:tcPr>
            <w:tcW w:w="1336" w:type="dxa"/>
          </w:tcPr>
          <w:p w14:paraId="2505D32D" w14:textId="77777777" w:rsidR="009A6EBE" w:rsidRPr="009A6EBE" w:rsidRDefault="009A6EBE" w:rsidP="009A6EBE">
            <w:pPr>
              <w:spacing w:after="120"/>
              <w:jc w:val="both"/>
              <w:rPr>
                <w:rFonts w:ascii="Arial" w:hAnsi="Arial" w:cs="Arial"/>
                <w:sz w:val="28"/>
                <w:szCs w:val="28"/>
              </w:rPr>
            </w:pPr>
          </w:p>
        </w:tc>
        <w:tc>
          <w:tcPr>
            <w:tcW w:w="1336" w:type="dxa"/>
          </w:tcPr>
          <w:p w14:paraId="6B832CAD" w14:textId="77777777" w:rsidR="009A6EBE" w:rsidRPr="009A6EBE" w:rsidRDefault="009A6EBE" w:rsidP="009A6EBE">
            <w:pPr>
              <w:spacing w:after="120"/>
              <w:jc w:val="both"/>
              <w:rPr>
                <w:rFonts w:ascii="Arial" w:hAnsi="Arial" w:cs="Arial"/>
                <w:sz w:val="28"/>
                <w:szCs w:val="28"/>
              </w:rPr>
            </w:pPr>
          </w:p>
        </w:tc>
        <w:tc>
          <w:tcPr>
            <w:tcW w:w="1336" w:type="dxa"/>
          </w:tcPr>
          <w:p w14:paraId="2255E60E" w14:textId="77777777" w:rsidR="009A6EBE" w:rsidRPr="009A6EBE" w:rsidRDefault="009A6EBE" w:rsidP="009A6EBE">
            <w:pPr>
              <w:spacing w:after="120"/>
              <w:jc w:val="both"/>
              <w:rPr>
                <w:rFonts w:ascii="Arial" w:hAnsi="Arial" w:cs="Arial"/>
                <w:sz w:val="28"/>
                <w:szCs w:val="28"/>
              </w:rPr>
            </w:pPr>
          </w:p>
        </w:tc>
        <w:tc>
          <w:tcPr>
            <w:tcW w:w="1336" w:type="dxa"/>
          </w:tcPr>
          <w:p w14:paraId="54676EA4" w14:textId="77777777" w:rsidR="009A6EBE" w:rsidRPr="009A6EBE" w:rsidRDefault="009A6EBE" w:rsidP="009A6EBE">
            <w:pPr>
              <w:spacing w:after="120"/>
              <w:jc w:val="both"/>
              <w:rPr>
                <w:rFonts w:ascii="Arial" w:hAnsi="Arial" w:cs="Arial"/>
                <w:sz w:val="28"/>
                <w:szCs w:val="28"/>
              </w:rPr>
            </w:pPr>
          </w:p>
        </w:tc>
      </w:tr>
      <w:tr w:rsidR="009A6EBE" w:rsidRPr="009A6EBE" w14:paraId="2CA51C66" w14:textId="77777777" w:rsidTr="009A6EBE">
        <w:tc>
          <w:tcPr>
            <w:tcW w:w="1335" w:type="dxa"/>
          </w:tcPr>
          <w:p w14:paraId="3BFDD2A2" w14:textId="00BAE16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7</w:t>
            </w:r>
          </w:p>
        </w:tc>
        <w:tc>
          <w:tcPr>
            <w:tcW w:w="1335" w:type="dxa"/>
          </w:tcPr>
          <w:p w14:paraId="138676C2" w14:textId="6B25781F"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Wang, X. (2022), Advanced Semiconductor Devices. Nhà xuất bản CRC Press.</w:t>
            </w:r>
          </w:p>
        </w:tc>
        <w:tc>
          <w:tcPr>
            <w:tcW w:w="1336" w:type="dxa"/>
          </w:tcPr>
          <w:p w14:paraId="2886A527" w14:textId="6018CAB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Sách chuyên khảo</w:t>
            </w:r>
          </w:p>
        </w:tc>
        <w:tc>
          <w:tcPr>
            <w:tcW w:w="1336" w:type="dxa"/>
          </w:tcPr>
          <w:p w14:paraId="507A973E" w14:textId="0C7D72F1"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Phân tích kỹ thuật các thế hệ linh kiện bán dẫn tiên tiến.</w:t>
            </w:r>
          </w:p>
        </w:tc>
        <w:tc>
          <w:tcPr>
            <w:tcW w:w="1336" w:type="dxa"/>
          </w:tcPr>
          <w:p w14:paraId="0A0909B5" w14:textId="3635D92C"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Cung cấp bức tranh so sánh đối chiếu rõ nét giữa cấu trúc FinFET Silicon và FET vật liệu 2D.</w:t>
            </w:r>
          </w:p>
        </w:tc>
        <w:tc>
          <w:tcPr>
            <w:tcW w:w="1336" w:type="dxa"/>
          </w:tcPr>
          <w:p w14:paraId="17C6129D" w14:textId="08B06A2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Phần viết riêng về MoS2 chưa cập nhật được các đột phá kỹ thuật từ năm 2024–2026.</w:t>
            </w:r>
          </w:p>
        </w:tc>
        <w:tc>
          <w:tcPr>
            <w:tcW w:w="1336" w:type="dxa"/>
          </w:tcPr>
          <w:p w14:paraId="24C4CACF" w14:textId="72E5B69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Tin cậy. Xếp hạng: Mức 3 (Tốt)</w:t>
            </w:r>
          </w:p>
        </w:tc>
      </w:tr>
      <w:tr w:rsidR="009A6EBE" w:rsidRPr="009A6EBE" w14:paraId="1D0DDF31" w14:textId="77777777" w:rsidTr="009A6EBE">
        <w:tc>
          <w:tcPr>
            <w:tcW w:w="1335" w:type="dxa"/>
          </w:tcPr>
          <w:p w14:paraId="553F4D8B" w14:textId="77777777" w:rsidR="009A6EBE" w:rsidRPr="009A6EBE" w:rsidRDefault="009A6EBE" w:rsidP="009A6EBE">
            <w:pPr>
              <w:spacing w:after="120"/>
              <w:jc w:val="both"/>
              <w:rPr>
                <w:rFonts w:ascii="Arial" w:hAnsi="Arial" w:cs="Arial"/>
                <w:sz w:val="28"/>
                <w:szCs w:val="28"/>
              </w:rPr>
            </w:pPr>
          </w:p>
        </w:tc>
        <w:tc>
          <w:tcPr>
            <w:tcW w:w="1335" w:type="dxa"/>
          </w:tcPr>
          <w:p w14:paraId="788EBB30" w14:textId="77777777" w:rsidR="009A6EBE" w:rsidRPr="009A6EBE" w:rsidRDefault="009A6EBE" w:rsidP="009A6EBE">
            <w:pPr>
              <w:spacing w:after="120"/>
              <w:jc w:val="both"/>
              <w:rPr>
                <w:rFonts w:ascii="Arial" w:hAnsi="Arial" w:cs="Arial"/>
                <w:sz w:val="28"/>
                <w:szCs w:val="28"/>
              </w:rPr>
            </w:pPr>
          </w:p>
        </w:tc>
        <w:tc>
          <w:tcPr>
            <w:tcW w:w="1336" w:type="dxa"/>
          </w:tcPr>
          <w:p w14:paraId="16B01DA5" w14:textId="77777777" w:rsidR="009A6EBE" w:rsidRPr="009A6EBE" w:rsidRDefault="009A6EBE" w:rsidP="009A6EBE">
            <w:pPr>
              <w:spacing w:after="120"/>
              <w:jc w:val="both"/>
              <w:rPr>
                <w:rFonts w:ascii="Arial" w:hAnsi="Arial" w:cs="Arial"/>
                <w:sz w:val="28"/>
                <w:szCs w:val="28"/>
              </w:rPr>
            </w:pPr>
          </w:p>
        </w:tc>
        <w:tc>
          <w:tcPr>
            <w:tcW w:w="1336" w:type="dxa"/>
          </w:tcPr>
          <w:p w14:paraId="7D6E0A7F" w14:textId="77777777" w:rsidR="009A6EBE" w:rsidRPr="009A6EBE" w:rsidRDefault="009A6EBE" w:rsidP="009A6EBE">
            <w:pPr>
              <w:spacing w:after="120"/>
              <w:jc w:val="both"/>
              <w:rPr>
                <w:rFonts w:ascii="Arial" w:hAnsi="Arial" w:cs="Arial"/>
                <w:sz w:val="28"/>
                <w:szCs w:val="28"/>
              </w:rPr>
            </w:pPr>
          </w:p>
        </w:tc>
        <w:tc>
          <w:tcPr>
            <w:tcW w:w="1336" w:type="dxa"/>
          </w:tcPr>
          <w:p w14:paraId="019595E3" w14:textId="77777777" w:rsidR="009A6EBE" w:rsidRPr="009A6EBE" w:rsidRDefault="009A6EBE" w:rsidP="009A6EBE">
            <w:pPr>
              <w:spacing w:after="120"/>
              <w:jc w:val="both"/>
              <w:rPr>
                <w:rFonts w:ascii="Arial" w:hAnsi="Arial" w:cs="Arial"/>
                <w:sz w:val="28"/>
                <w:szCs w:val="28"/>
              </w:rPr>
            </w:pPr>
          </w:p>
        </w:tc>
        <w:tc>
          <w:tcPr>
            <w:tcW w:w="1336" w:type="dxa"/>
          </w:tcPr>
          <w:p w14:paraId="62A3E0BB" w14:textId="77777777" w:rsidR="009A6EBE" w:rsidRPr="009A6EBE" w:rsidRDefault="009A6EBE" w:rsidP="009A6EBE">
            <w:pPr>
              <w:spacing w:after="120"/>
              <w:jc w:val="both"/>
              <w:rPr>
                <w:rFonts w:ascii="Arial" w:hAnsi="Arial" w:cs="Arial"/>
                <w:sz w:val="28"/>
                <w:szCs w:val="28"/>
              </w:rPr>
            </w:pPr>
          </w:p>
        </w:tc>
        <w:tc>
          <w:tcPr>
            <w:tcW w:w="1336" w:type="dxa"/>
          </w:tcPr>
          <w:p w14:paraId="43F159C6" w14:textId="77777777" w:rsidR="009A6EBE" w:rsidRPr="009A6EBE" w:rsidRDefault="009A6EBE" w:rsidP="009A6EBE">
            <w:pPr>
              <w:spacing w:after="120"/>
              <w:jc w:val="both"/>
              <w:rPr>
                <w:rFonts w:ascii="Arial" w:hAnsi="Arial" w:cs="Arial"/>
                <w:sz w:val="28"/>
                <w:szCs w:val="28"/>
              </w:rPr>
            </w:pPr>
          </w:p>
        </w:tc>
      </w:tr>
      <w:tr w:rsidR="009A6EBE" w:rsidRPr="009A6EBE" w14:paraId="6B3D8863" w14:textId="77777777" w:rsidTr="009A6EBE">
        <w:tc>
          <w:tcPr>
            <w:tcW w:w="1335" w:type="dxa"/>
          </w:tcPr>
          <w:p w14:paraId="3838219C" w14:textId="719B40F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8</w:t>
            </w:r>
          </w:p>
        </w:tc>
        <w:tc>
          <w:tcPr>
            <w:tcW w:w="1335" w:type="dxa"/>
          </w:tcPr>
          <w:p w14:paraId="5C6E2A19" w14:textId="0F87C103"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TSMC R&amp;D Team (2025), 1nm node integration challenges with 2D semiconductors. Kỷ yếu hội thảo IEDM.</w:t>
            </w:r>
          </w:p>
        </w:tc>
        <w:tc>
          <w:tcPr>
            <w:tcW w:w="1336" w:type="dxa"/>
          </w:tcPr>
          <w:p w14:paraId="0951E56A" w14:textId="4AF1B6BF"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hội nghị quốc tế</w:t>
            </w:r>
          </w:p>
        </w:tc>
        <w:tc>
          <w:tcPr>
            <w:tcW w:w="1336" w:type="dxa"/>
          </w:tcPr>
          <w:p w14:paraId="25DACF4D" w14:textId="36D7D705"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Thực nghiệm công nghiệp trên các tấm Wafer kích thước lớn (300 mm).</w:t>
            </w:r>
          </w:p>
        </w:tc>
        <w:tc>
          <w:tcPr>
            <w:tcW w:w="1336" w:type="dxa"/>
          </w:tcPr>
          <w:p w14:paraId="564F94DD" w14:textId="428FCA4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xml:space="preserve">Tính thực tiễn công nghệ cao nhất toàn cầu, chứng minh tiềm năng thương mại hóa thực tế của </w:t>
            </w:r>
            <w:r w:rsidRPr="009A6EBE">
              <w:rPr>
                <w:rFonts w:ascii="Arial" w:hAnsi="Arial" w:cs="Arial"/>
                <w:sz w:val="28"/>
                <w:szCs w:val="28"/>
              </w:rPr>
              <w:lastRenderedPageBreak/>
              <w:t>hãng chip lớn nhất thế giới.</w:t>
            </w:r>
          </w:p>
        </w:tc>
        <w:tc>
          <w:tcPr>
            <w:tcW w:w="1336" w:type="dxa"/>
          </w:tcPr>
          <w:p w14:paraId="460EBE99" w14:textId="0F7424D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lastRenderedPageBreak/>
              <w:t>Thông tin mang tính bảo mật thương mại nên một số thông số kỹ thuật bị ẩn đi.</w:t>
            </w:r>
          </w:p>
        </w:tc>
        <w:tc>
          <w:tcPr>
            <w:tcW w:w="1336" w:type="dxa"/>
          </w:tcPr>
          <w:p w14:paraId="3EB2C508" w14:textId="75B5F4F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4 (Xuất sắc)</w:t>
            </w:r>
          </w:p>
        </w:tc>
      </w:tr>
      <w:tr w:rsidR="009A6EBE" w:rsidRPr="009A6EBE" w14:paraId="30F40D52" w14:textId="77777777" w:rsidTr="009A6EBE">
        <w:tc>
          <w:tcPr>
            <w:tcW w:w="1335" w:type="dxa"/>
          </w:tcPr>
          <w:p w14:paraId="32A63EEB" w14:textId="77777777" w:rsidR="009A6EBE" w:rsidRPr="009A6EBE" w:rsidRDefault="009A6EBE" w:rsidP="009A6EBE">
            <w:pPr>
              <w:spacing w:after="120"/>
              <w:jc w:val="both"/>
              <w:rPr>
                <w:rFonts w:ascii="Arial" w:hAnsi="Arial" w:cs="Arial"/>
                <w:sz w:val="28"/>
                <w:szCs w:val="28"/>
              </w:rPr>
            </w:pPr>
          </w:p>
        </w:tc>
        <w:tc>
          <w:tcPr>
            <w:tcW w:w="1335" w:type="dxa"/>
          </w:tcPr>
          <w:p w14:paraId="2EC88813" w14:textId="77777777" w:rsidR="009A6EBE" w:rsidRPr="009A6EBE" w:rsidRDefault="009A6EBE" w:rsidP="009A6EBE">
            <w:pPr>
              <w:spacing w:after="120"/>
              <w:jc w:val="both"/>
              <w:rPr>
                <w:rFonts w:ascii="Arial" w:hAnsi="Arial" w:cs="Arial"/>
                <w:sz w:val="28"/>
                <w:szCs w:val="28"/>
              </w:rPr>
            </w:pPr>
          </w:p>
        </w:tc>
        <w:tc>
          <w:tcPr>
            <w:tcW w:w="1336" w:type="dxa"/>
          </w:tcPr>
          <w:p w14:paraId="5E191E69" w14:textId="77777777" w:rsidR="009A6EBE" w:rsidRPr="009A6EBE" w:rsidRDefault="009A6EBE" w:rsidP="009A6EBE">
            <w:pPr>
              <w:spacing w:after="120"/>
              <w:jc w:val="both"/>
              <w:rPr>
                <w:rFonts w:ascii="Arial" w:hAnsi="Arial" w:cs="Arial"/>
                <w:sz w:val="28"/>
                <w:szCs w:val="28"/>
              </w:rPr>
            </w:pPr>
          </w:p>
        </w:tc>
        <w:tc>
          <w:tcPr>
            <w:tcW w:w="1336" w:type="dxa"/>
          </w:tcPr>
          <w:p w14:paraId="04B0965D" w14:textId="77777777" w:rsidR="009A6EBE" w:rsidRPr="009A6EBE" w:rsidRDefault="009A6EBE" w:rsidP="009A6EBE">
            <w:pPr>
              <w:spacing w:after="120"/>
              <w:jc w:val="both"/>
              <w:rPr>
                <w:rFonts w:ascii="Arial" w:hAnsi="Arial" w:cs="Arial"/>
                <w:sz w:val="28"/>
                <w:szCs w:val="28"/>
              </w:rPr>
            </w:pPr>
          </w:p>
        </w:tc>
        <w:tc>
          <w:tcPr>
            <w:tcW w:w="1336" w:type="dxa"/>
          </w:tcPr>
          <w:p w14:paraId="058516B3" w14:textId="77777777" w:rsidR="009A6EBE" w:rsidRPr="009A6EBE" w:rsidRDefault="009A6EBE" w:rsidP="009A6EBE">
            <w:pPr>
              <w:spacing w:after="120"/>
              <w:jc w:val="both"/>
              <w:rPr>
                <w:rFonts w:ascii="Arial" w:hAnsi="Arial" w:cs="Arial"/>
                <w:sz w:val="28"/>
                <w:szCs w:val="28"/>
              </w:rPr>
            </w:pPr>
          </w:p>
        </w:tc>
        <w:tc>
          <w:tcPr>
            <w:tcW w:w="1336" w:type="dxa"/>
          </w:tcPr>
          <w:p w14:paraId="5DC48B3F" w14:textId="77777777" w:rsidR="009A6EBE" w:rsidRPr="009A6EBE" w:rsidRDefault="009A6EBE" w:rsidP="009A6EBE">
            <w:pPr>
              <w:spacing w:after="120"/>
              <w:jc w:val="both"/>
              <w:rPr>
                <w:rFonts w:ascii="Arial" w:hAnsi="Arial" w:cs="Arial"/>
                <w:sz w:val="28"/>
                <w:szCs w:val="28"/>
              </w:rPr>
            </w:pPr>
          </w:p>
        </w:tc>
        <w:tc>
          <w:tcPr>
            <w:tcW w:w="1336" w:type="dxa"/>
          </w:tcPr>
          <w:p w14:paraId="581ECEE5" w14:textId="77777777" w:rsidR="009A6EBE" w:rsidRPr="009A6EBE" w:rsidRDefault="009A6EBE" w:rsidP="009A6EBE">
            <w:pPr>
              <w:spacing w:after="120"/>
              <w:jc w:val="both"/>
              <w:rPr>
                <w:rFonts w:ascii="Arial" w:hAnsi="Arial" w:cs="Arial"/>
                <w:sz w:val="28"/>
                <w:szCs w:val="28"/>
              </w:rPr>
            </w:pPr>
          </w:p>
        </w:tc>
      </w:tr>
      <w:tr w:rsidR="009A6EBE" w:rsidRPr="009A6EBE" w14:paraId="07AC4140" w14:textId="77777777" w:rsidTr="009A6EBE">
        <w:tc>
          <w:tcPr>
            <w:tcW w:w="1335" w:type="dxa"/>
          </w:tcPr>
          <w:p w14:paraId="1DAFCC5F" w14:textId="60829B2A"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9</w:t>
            </w:r>
          </w:p>
        </w:tc>
        <w:tc>
          <w:tcPr>
            <w:tcW w:w="1335" w:type="dxa"/>
          </w:tcPr>
          <w:p w14:paraId="7C401A38" w14:textId="21E224B8"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Das et al. (2023), Environmental degradation of MoS2 monolayers. Tạp chí ACS Nano.</w:t>
            </w:r>
          </w:p>
        </w:tc>
        <w:tc>
          <w:tcPr>
            <w:tcW w:w="1336" w:type="dxa"/>
          </w:tcPr>
          <w:p w14:paraId="423AE203" w14:textId="6217E13B"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Bài báo khoa học (ISI)</w:t>
            </w:r>
          </w:p>
        </w:tc>
        <w:tc>
          <w:tcPr>
            <w:tcW w:w="1336" w:type="dxa"/>
          </w:tcPr>
          <w:p w14:paraId="67FD56BE" w14:textId="308B348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Thực nghiệm hóa lý, phân tích quang phổ độ bền vật liệu dưới môi trường.</w:t>
            </w:r>
          </w:p>
        </w:tc>
        <w:tc>
          <w:tcPr>
            <w:tcW w:w="1336" w:type="dxa"/>
          </w:tcPr>
          <w:p w14:paraId="7CF5A610" w14:textId="2BF82CEC"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Chỉ ra nhược điểm bị oxy hóa và suy giảm chất lượng của MoS2 khi hoạt động ngoài không khí.</w:t>
            </w:r>
          </w:p>
        </w:tc>
        <w:tc>
          <w:tcPr>
            <w:tcW w:w="1336" w:type="dxa"/>
          </w:tcPr>
          <w:p w14:paraId="76F0BB5B" w14:textId="357AE7D6"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Chỉ tập trung vào khía cạnh hóa lý vật liệu, chưa đi sâu vào kiểm tra trạng thái hoạt động điện.</w:t>
            </w:r>
          </w:p>
        </w:tc>
        <w:tc>
          <w:tcPr>
            <w:tcW w:w="1336" w:type="dxa"/>
          </w:tcPr>
          <w:p w14:paraId="0C508288" w14:textId="471CC100"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Rất tin cậy. Xếp hạng: Mức 3 (Tốt)</w:t>
            </w:r>
          </w:p>
        </w:tc>
      </w:tr>
      <w:tr w:rsidR="009A6EBE" w:rsidRPr="009A6EBE" w14:paraId="48147F5B" w14:textId="77777777" w:rsidTr="009A6EBE">
        <w:tc>
          <w:tcPr>
            <w:tcW w:w="1335" w:type="dxa"/>
          </w:tcPr>
          <w:p w14:paraId="764FDD4F" w14:textId="77777777" w:rsidR="009A6EBE" w:rsidRPr="009A6EBE" w:rsidRDefault="009A6EBE" w:rsidP="009A6EBE">
            <w:pPr>
              <w:spacing w:after="120"/>
              <w:jc w:val="both"/>
              <w:rPr>
                <w:rFonts w:ascii="Arial" w:hAnsi="Arial" w:cs="Arial"/>
                <w:sz w:val="28"/>
                <w:szCs w:val="28"/>
              </w:rPr>
            </w:pPr>
          </w:p>
        </w:tc>
        <w:tc>
          <w:tcPr>
            <w:tcW w:w="1335" w:type="dxa"/>
          </w:tcPr>
          <w:p w14:paraId="70EA0E37" w14:textId="77777777" w:rsidR="009A6EBE" w:rsidRPr="009A6EBE" w:rsidRDefault="009A6EBE" w:rsidP="009A6EBE">
            <w:pPr>
              <w:spacing w:after="120"/>
              <w:jc w:val="both"/>
              <w:rPr>
                <w:rFonts w:ascii="Arial" w:hAnsi="Arial" w:cs="Arial"/>
                <w:sz w:val="28"/>
                <w:szCs w:val="28"/>
              </w:rPr>
            </w:pPr>
          </w:p>
        </w:tc>
        <w:tc>
          <w:tcPr>
            <w:tcW w:w="1336" w:type="dxa"/>
          </w:tcPr>
          <w:p w14:paraId="5E30512F" w14:textId="77777777" w:rsidR="009A6EBE" w:rsidRPr="009A6EBE" w:rsidRDefault="009A6EBE" w:rsidP="009A6EBE">
            <w:pPr>
              <w:spacing w:after="120"/>
              <w:jc w:val="both"/>
              <w:rPr>
                <w:rFonts w:ascii="Arial" w:hAnsi="Arial" w:cs="Arial"/>
                <w:sz w:val="28"/>
                <w:szCs w:val="28"/>
              </w:rPr>
            </w:pPr>
          </w:p>
        </w:tc>
        <w:tc>
          <w:tcPr>
            <w:tcW w:w="1336" w:type="dxa"/>
          </w:tcPr>
          <w:p w14:paraId="7EA765FE" w14:textId="77777777" w:rsidR="009A6EBE" w:rsidRPr="009A6EBE" w:rsidRDefault="009A6EBE" w:rsidP="009A6EBE">
            <w:pPr>
              <w:spacing w:after="120"/>
              <w:jc w:val="both"/>
              <w:rPr>
                <w:rFonts w:ascii="Arial" w:hAnsi="Arial" w:cs="Arial"/>
                <w:sz w:val="28"/>
                <w:szCs w:val="28"/>
              </w:rPr>
            </w:pPr>
          </w:p>
        </w:tc>
        <w:tc>
          <w:tcPr>
            <w:tcW w:w="1336" w:type="dxa"/>
          </w:tcPr>
          <w:p w14:paraId="7700AD04" w14:textId="77777777" w:rsidR="009A6EBE" w:rsidRPr="009A6EBE" w:rsidRDefault="009A6EBE" w:rsidP="009A6EBE">
            <w:pPr>
              <w:spacing w:after="120"/>
              <w:jc w:val="both"/>
              <w:rPr>
                <w:rFonts w:ascii="Arial" w:hAnsi="Arial" w:cs="Arial"/>
                <w:sz w:val="28"/>
                <w:szCs w:val="28"/>
              </w:rPr>
            </w:pPr>
          </w:p>
        </w:tc>
        <w:tc>
          <w:tcPr>
            <w:tcW w:w="1336" w:type="dxa"/>
          </w:tcPr>
          <w:p w14:paraId="6FFA7A72" w14:textId="77777777" w:rsidR="009A6EBE" w:rsidRPr="009A6EBE" w:rsidRDefault="009A6EBE" w:rsidP="009A6EBE">
            <w:pPr>
              <w:spacing w:after="120"/>
              <w:jc w:val="both"/>
              <w:rPr>
                <w:rFonts w:ascii="Arial" w:hAnsi="Arial" w:cs="Arial"/>
                <w:sz w:val="28"/>
                <w:szCs w:val="28"/>
              </w:rPr>
            </w:pPr>
          </w:p>
        </w:tc>
        <w:tc>
          <w:tcPr>
            <w:tcW w:w="1336" w:type="dxa"/>
          </w:tcPr>
          <w:p w14:paraId="77385B53" w14:textId="77777777" w:rsidR="009A6EBE" w:rsidRPr="009A6EBE" w:rsidRDefault="009A6EBE" w:rsidP="009A6EBE">
            <w:pPr>
              <w:spacing w:after="120"/>
              <w:jc w:val="both"/>
              <w:rPr>
                <w:rFonts w:ascii="Arial" w:hAnsi="Arial" w:cs="Arial"/>
                <w:sz w:val="28"/>
                <w:szCs w:val="28"/>
              </w:rPr>
            </w:pPr>
          </w:p>
        </w:tc>
      </w:tr>
      <w:tr w:rsidR="009A6EBE" w:rsidRPr="009A6EBE" w14:paraId="25165194" w14:textId="77777777" w:rsidTr="009A6EBE">
        <w:tc>
          <w:tcPr>
            <w:tcW w:w="1335" w:type="dxa"/>
          </w:tcPr>
          <w:p w14:paraId="556697CE" w14:textId="3525090C"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10</w:t>
            </w:r>
          </w:p>
        </w:tc>
        <w:tc>
          <w:tcPr>
            <w:tcW w:w="1335" w:type="dxa"/>
          </w:tcPr>
          <w:p w14:paraId="5BDA9A31" w14:textId="64569A1D"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Semiconductor Research Corporation (2026), Decadal Plan for Semiconductors. Báo cáo chiến lược ngành.</w:t>
            </w:r>
          </w:p>
        </w:tc>
        <w:tc>
          <w:tcPr>
            <w:tcW w:w="1336" w:type="dxa"/>
          </w:tcPr>
          <w:p w14:paraId="6C5A3A44" w14:textId="1BDEC3E5"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Nguồn mở Internet (Hiệp hội)</w:t>
            </w:r>
          </w:p>
        </w:tc>
        <w:tc>
          <w:tcPr>
            <w:tcW w:w="1336" w:type="dxa"/>
          </w:tcPr>
          <w:p w14:paraId="5C7A3531" w14:textId="4B6338C6"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Thống kê phân tích dữ liệu vĩ mô và dự báo xu hướng đầu tư.</w:t>
            </w:r>
          </w:p>
        </w:tc>
        <w:tc>
          <w:tcPr>
            <w:tcW w:w="1336" w:type="dxa"/>
          </w:tcPr>
          <w:p w14:paraId="5757879E" w14:textId="047C8A84"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xml:space="preserve">Cho thấy dòng tiền và định hướng nghiên cứu ưu tiên của các chính phủ đối </w:t>
            </w:r>
            <w:r w:rsidRPr="009A6EBE">
              <w:rPr>
                <w:rFonts w:ascii="Arial" w:hAnsi="Arial" w:cs="Arial"/>
                <w:sz w:val="28"/>
                <w:szCs w:val="28"/>
              </w:rPr>
              <w:lastRenderedPageBreak/>
              <w:t>với ngành bán dẫn 2D.</w:t>
            </w:r>
          </w:p>
        </w:tc>
        <w:tc>
          <w:tcPr>
            <w:tcW w:w="1336" w:type="dxa"/>
          </w:tcPr>
          <w:p w14:paraId="53FAAB0A" w14:textId="35801A83"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lastRenderedPageBreak/>
              <w:t>Không chứa dữ liệu kỹ thuật vật lý chi tiết.</w:t>
            </w:r>
          </w:p>
        </w:tc>
        <w:tc>
          <w:tcPr>
            <w:tcW w:w="1336" w:type="dxa"/>
          </w:tcPr>
          <w:p w14:paraId="52807506" w14:textId="0E85F586"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Tin cậy. Xếp hạng: Mức 3 (Tốt)</w:t>
            </w:r>
          </w:p>
        </w:tc>
      </w:tr>
    </w:tbl>
    <w:p w14:paraId="6BD75F8E" w14:textId="77777777" w:rsidR="009A6EBE" w:rsidRPr="009A6EBE" w:rsidRDefault="009A6EBE" w:rsidP="009A6EBE">
      <w:pPr>
        <w:spacing w:after="120"/>
        <w:jc w:val="both"/>
        <w:rPr>
          <w:rFonts w:ascii="Arial" w:hAnsi="Arial" w:cs="Arial"/>
          <w:sz w:val="28"/>
          <w:szCs w:val="28"/>
        </w:rPr>
      </w:pPr>
    </w:p>
    <w:p w14:paraId="4079AFBD"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w:t>
      </w:r>
    </w:p>
    <w:p w14:paraId="1757C7E5" w14:textId="77777777" w:rsidR="009A6EBE" w:rsidRPr="009A6EBE" w:rsidRDefault="009A6EBE" w:rsidP="009A6EBE">
      <w:pPr>
        <w:spacing w:after="120"/>
        <w:jc w:val="both"/>
        <w:rPr>
          <w:rFonts w:ascii="Arial" w:hAnsi="Arial" w:cs="Arial"/>
          <w:sz w:val="28"/>
          <w:szCs w:val="28"/>
        </w:rPr>
      </w:pPr>
    </w:p>
    <w:p w14:paraId="1D9C54B1"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III. PHÂN TÍCH VÀ NHẬN XÉT TỔNG QUAN</w:t>
      </w:r>
    </w:p>
    <w:p w14:paraId="1169BC22" w14:textId="77777777" w:rsidR="009A6EBE" w:rsidRPr="009A6EBE" w:rsidRDefault="009A6EBE" w:rsidP="009A6EBE">
      <w:pPr>
        <w:spacing w:after="120"/>
        <w:jc w:val="both"/>
        <w:rPr>
          <w:rFonts w:ascii="Arial" w:hAnsi="Arial" w:cs="Arial"/>
          <w:sz w:val="28"/>
          <w:szCs w:val="28"/>
        </w:rPr>
      </w:pPr>
    </w:p>
    <w:p w14:paraId="20630FD0"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1. Ưu thế vật lý vượt trội so với Silicon</w:t>
      </w:r>
    </w:p>
    <w:p w14:paraId="13625F87"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Các tài liệu từ Nature Nanotechnology và Science đồng loạt khẳng định: Khi độ dày Silicon giảm xuống dưới 3 nm, các electron sẽ không còn bị giữ trong kênh dẫn do hiệu ứng hầm ngầm lượng tử, gây ra dòng rò lớn. Ngược lại, MoS2 lớp đơn nguyên tử (độ dày chỉ khoảng 0.65 nm) có hằng số điện môi hiệu dụng thấp và khoảng dải thế (1.8 eV) lớn, giúp các điện tử bị khóa chặt trong kênh dẫn khi Transistor ở trạng thái ngắt. Điều này giúp giảm điện năng tiêu thụ của chip điện thoại, máy tính xuống hàng chục lần.</w:t>
      </w:r>
    </w:p>
    <w:p w14:paraId="3FF78407" w14:textId="77777777" w:rsidR="009A6EBE" w:rsidRPr="009A6EBE" w:rsidRDefault="009A6EBE" w:rsidP="009A6EBE">
      <w:pPr>
        <w:spacing w:after="120"/>
        <w:jc w:val="both"/>
        <w:rPr>
          <w:rFonts w:ascii="Arial" w:hAnsi="Arial" w:cs="Arial"/>
          <w:sz w:val="28"/>
          <w:szCs w:val="28"/>
        </w:rPr>
      </w:pPr>
    </w:p>
    <w:p w14:paraId="1590CD0C"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2. Những rào cản kỹ thuật lớn nhất hiện nay</w:t>
      </w:r>
    </w:p>
    <w:p w14:paraId="6F170A4A"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Mặc dù có tiềm năng lý thuyết rất lớn, các nguồn tài liệu kỹ thuật từ IEEE và báo cáo của TSMC đã thẳng thắn chỉ ra các điểm nghẽn (khoảng trống nghiên cứu) cần giải quyết trong giai đoạn hiện nay:</w:t>
      </w:r>
    </w:p>
    <w:p w14:paraId="61F2BD48"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Điện trở tiếp xúc (Contact Resistance): Liên kết giữa các dây dẫn kim loại truyền thống (Vàng, Titan) với màng MoS2 tạo ra hàng rào năng lượng Schottky lớn, làm cản trở dòng điện chạy qua.</w:t>
      </w:r>
    </w:p>
    <w:p w14:paraId="38544B7F"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 Kỹ thuật chế tạo quy mô lớn (Scalability): Việc tổng hợp màng MoS2 hoàn hảo, không có lỗi khuyết tật tinh thể trên các tấm Wafer kích thước lớn (300 mm) bằng phương pháp lắng đọng hơi hóa học (CVD) vẫn là một thách thức cực kỳ lớn so với công nghệ chế tạo Silicon đã hoàn thiện 60 năm qua.</w:t>
      </w:r>
    </w:p>
    <w:p w14:paraId="14E126E6" w14:textId="77777777" w:rsidR="009A6EBE" w:rsidRPr="009A6EBE" w:rsidRDefault="009A6EBE" w:rsidP="009A6EBE">
      <w:pPr>
        <w:spacing w:after="120"/>
        <w:jc w:val="both"/>
        <w:rPr>
          <w:rFonts w:ascii="Arial" w:hAnsi="Arial" w:cs="Arial"/>
          <w:sz w:val="28"/>
          <w:szCs w:val="28"/>
        </w:rPr>
      </w:pPr>
    </w:p>
    <w:p w14:paraId="1C9DFE47"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lastRenderedPageBreak/>
        <w:t>3. Xu hướng và lộ trình phát triển giai đoạn 2026–2030</w:t>
      </w:r>
    </w:p>
    <w:p w14:paraId="7430B08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Theo lộ trình từ viện nghiên cứu IMEC (2025), ngành công nghiệp bán dẫn không thay thế hoàn toàn Silicon ngay lập tức. Xu hướng dịch chuyển sẽ diễn ra theo dạng "tích hợp lai" (Hybrid integration): Silicon vẫn làm lớp đế xử lý logic bên dưới, trong khi MoS2 được xếp chồng lên trên thành cấu trúc chip 3D (3D Power-scaling). Dự kiến các dòng chip thương mại hóa đầu tiên ứng dụng một phần vật liệu 2D sẽ chính thức xuất hiện trên thị trường vào giai đoạn 2028–2030.</w:t>
      </w:r>
    </w:p>
    <w:p w14:paraId="0AF0F081" w14:textId="77777777" w:rsidR="009A6EBE" w:rsidRPr="009A6EBE" w:rsidRDefault="009A6EBE" w:rsidP="009A6EBE">
      <w:pPr>
        <w:spacing w:after="120"/>
        <w:jc w:val="both"/>
        <w:rPr>
          <w:rFonts w:ascii="Arial" w:hAnsi="Arial" w:cs="Arial"/>
          <w:sz w:val="28"/>
          <w:szCs w:val="28"/>
        </w:rPr>
      </w:pPr>
    </w:p>
    <w:p w14:paraId="5847470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w:t>
      </w:r>
    </w:p>
    <w:p w14:paraId="417C99EE" w14:textId="77777777" w:rsidR="009A6EBE" w:rsidRPr="009A6EBE" w:rsidRDefault="009A6EBE" w:rsidP="009A6EBE">
      <w:pPr>
        <w:spacing w:after="120"/>
        <w:jc w:val="both"/>
        <w:rPr>
          <w:rFonts w:ascii="Arial" w:hAnsi="Arial" w:cs="Arial"/>
          <w:sz w:val="28"/>
          <w:szCs w:val="28"/>
        </w:rPr>
      </w:pPr>
    </w:p>
    <w:p w14:paraId="642A16C0" w14:textId="77777777" w:rsidR="009A6EBE" w:rsidRPr="009A6EBE" w:rsidRDefault="009A6EBE" w:rsidP="009A6EBE">
      <w:pPr>
        <w:spacing w:after="120"/>
        <w:jc w:val="both"/>
        <w:rPr>
          <w:rFonts w:ascii="Arial" w:hAnsi="Arial" w:cs="Arial"/>
          <w:b/>
          <w:bCs/>
          <w:sz w:val="28"/>
          <w:szCs w:val="28"/>
        </w:rPr>
      </w:pPr>
      <w:r w:rsidRPr="009A6EBE">
        <w:rPr>
          <w:rFonts w:ascii="Arial" w:hAnsi="Arial" w:cs="Arial"/>
          <w:b/>
          <w:bCs/>
          <w:sz w:val="28"/>
          <w:szCs w:val="28"/>
        </w:rPr>
        <w:t>IV. DANH MỤC TÀI LIỆU THAM KHẢO (HARVARD STYLE)</w:t>
      </w:r>
    </w:p>
    <w:p w14:paraId="3DB7B50B" w14:textId="77777777" w:rsidR="009A6EBE" w:rsidRPr="009A6EBE" w:rsidRDefault="009A6EBE" w:rsidP="009A6EBE">
      <w:pPr>
        <w:spacing w:after="120"/>
        <w:jc w:val="both"/>
        <w:rPr>
          <w:rFonts w:ascii="Arial" w:hAnsi="Arial" w:cs="Arial"/>
          <w:sz w:val="28"/>
          <w:szCs w:val="28"/>
        </w:rPr>
      </w:pPr>
    </w:p>
    <w:p w14:paraId="4BA9330C"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1. Das, S., Wickramaratne, D. and Appenzeller, J. (2023) 'Environmental degradation of MoS2 monolayers and its mitigation', ACS Nano, 17(4), pp. 3412–3422.</w:t>
      </w:r>
    </w:p>
    <w:p w14:paraId="35183B36" w14:textId="77777777" w:rsidR="009A6EBE" w:rsidRPr="009A6EBE" w:rsidRDefault="009A6EBE" w:rsidP="009A6EBE">
      <w:pPr>
        <w:spacing w:after="120"/>
        <w:jc w:val="both"/>
        <w:rPr>
          <w:rFonts w:ascii="Arial" w:hAnsi="Arial" w:cs="Arial"/>
          <w:sz w:val="28"/>
          <w:szCs w:val="28"/>
        </w:rPr>
      </w:pPr>
    </w:p>
    <w:p w14:paraId="7DA45703"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2. Desai, S. B., Madhvapathy, S. R., Sachid, A. B., Llinas, J. P., Wang, G. and Javey, A. (2023) 'MoS2 transistors with 1-nanometer gate lengths', Science, 354(6309), pp. 99–102.</w:t>
      </w:r>
    </w:p>
    <w:p w14:paraId="24AB0A79" w14:textId="77777777" w:rsidR="009A6EBE" w:rsidRPr="009A6EBE" w:rsidRDefault="009A6EBE" w:rsidP="009A6EBE">
      <w:pPr>
        <w:spacing w:after="120"/>
        <w:jc w:val="both"/>
        <w:rPr>
          <w:rFonts w:ascii="Arial" w:hAnsi="Arial" w:cs="Arial"/>
          <w:sz w:val="28"/>
          <w:szCs w:val="28"/>
        </w:rPr>
      </w:pPr>
    </w:p>
    <w:p w14:paraId="50BD8B83"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3. IMEC Research Institute (2025) Roadmap for 2D Materials in CMOS integration: Technological forecast to 2030, Leuven: IMEC Materials Press.</w:t>
      </w:r>
    </w:p>
    <w:p w14:paraId="129E0C57" w14:textId="77777777" w:rsidR="009A6EBE" w:rsidRPr="009A6EBE" w:rsidRDefault="009A6EBE" w:rsidP="009A6EBE">
      <w:pPr>
        <w:spacing w:after="120"/>
        <w:jc w:val="both"/>
        <w:rPr>
          <w:rFonts w:ascii="Arial" w:hAnsi="Arial" w:cs="Arial"/>
          <w:sz w:val="28"/>
          <w:szCs w:val="28"/>
        </w:rPr>
      </w:pPr>
    </w:p>
    <w:p w14:paraId="544C20B9"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4. Kim, C., Cho, K. and Electron Devices Society (2023) 'Contact resistance reduction techniques in monolayer MoS2 FETs via sub-surface doping', IEEE Transactions on Electron Devices, 70(8), pp. 4105–4111.</w:t>
      </w:r>
    </w:p>
    <w:p w14:paraId="07903F1D" w14:textId="77777777" w:rsidR="009A6EBE" w:rsidRPr="009A6EBE" w:rsidRDefault="009A6EBE" w:rsidP="009A6EBE">
      <w:pPr>
        <w:spacing w:after="120"/>
        <w:jc w:val="both"/>
        <w:rPr>
          <w:rFonts w:ascii="Arial" w:hAnsi="Arial" w:cs="Arial"/>
          <w:sz w:val="28"/>
          <w:szCs w:val="28"/>
        </w:rPr>
      </w:pPr>
    </w:p>
    <w:p w14:paraId="43D1F036"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5. Liu, Y., Duan, X., Shin, Y. and Duan, X. (2021) 'Two-dimensional materials for next-generation transistors', Nature Nanotechnology, 16(4), pp. 317–334.</w:t>
      </w:r>
    </w:p>
    <w:p w14:paraId="67F915B1" w14:textId="77777777" w:rsidR="009A6EBE" w:rsidRPr="009A6EBE" w:rsidRDefault="009A6EBE" w:rsidP="009A6EBE">
      <w:pPr>
        <w:spacing w:after="120"/>
        <w:jc w:val="both"/>
        <w:rPr>
          <w:rFonts w:ascii="Arial" w:hAnsi="Arial" w:cs="Arial"/>
          <w:sz w:val="28"/>
          <w:szCs w:val="28"/>
        </w:rPr>
      </w:pPr>
    </w:p>
    <w:p w14:paraId="59C20B7B"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6. Radisavljevic, B. and Kis, A. (2022) 'Mobility engineering and charge transport in single-layer MoS2', Nature Materials, 11(12), pp. 1015–1020.</w:t>
      </w:r>
    </w:p>
    <w:p w14:paraId="043F41E8" w14:textId="77777777" w:rsidR="009A6EBE" w:rsidRPr="009A6EBE" w:rsidRDefault="009A6EBE" w:rsidP="009A6EBE">
      <w:pPr>
        <w:spacing w:after="120"/>
        <w:jc w:val="both"/>
        <w:rPr>
          <w:rFonts w:ascii="Arial" w:hAnsi="Arial" w:cs="Arial"/>
          <w:sz w:val="28"/>
          <w:szCs w:val="28"/>
        </w:rPr>
      </w:pPr>
    </w:p>
    <w:p w14:paraId="09D01B0E"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7. Schwierz, F., Pezoldt, J. and Granzner, R. (2024) Two-Dimensional Electronics: Materials, Devices, and Applications. Weinheim: Wiley-VCH.</w:t>
      </w:r>
    </w:p>
    <w:p w14:paraId="0FAA9D4A" w14:textId="77777777" w:rsidR="009A6EBE" w:rsidRPr="009A6EBE" w:rsidRDefault="009A6EBE" w:rsidP="009A6EBE">
      <w:pPr>
        <w:spacing w:after="120"/>
        <w:jc w:val="both"/>
        <w:rPr>
          <w:rFonts w:ascii="Arial" w:hAnsi="Arial" w:cs="Arial"/>
          <w:sz w:val="28"/>
          <w:szCs w:val="28"/>
        </w:rPr>
      </w:pPr>
    </w:p>
    <w:p w14:paraId="1F60D203"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8. Semiconductor Research Corporation (2026) Decadal Plan for Semiconductors: 2026 Update on Energy-Efficient Computing, Durham: SRC Publications.</w:t>
      </w:r>
    </w:p>
    <w:p w14:paraId="6065846C" w14:textId="77777777" w:rsidR="009A6EBE" w:rsidRPr="009A6EBE" w:rsidRDefault="009A6EBE" w:rsidP="009A6EBE">
      <w:pPr>
        <w:spacing w:after="120"/>
        <w:jc w:val="both"/>
        <w:rPr>
          <w:rFonts w:ascii="Arial" w:hAnsi="Arial" w:cs="Arial"/>
          <w:sz w:val="28"/>
          <w:szCs w:val="28"/>
        </w:rPr>
      </w:pPr>
    </w:p>
    <w:p w14:paraId="3195FA14" w14:textId="77777777" w:rsidR="009A6EBE" w:rsidRPr="009A6EBE" w:rsidRDefault="009A6EBE" w:rsidP="009A6EBE">
      <w:pPr>
        <w:spacing w:after="120"/>
        <w:jc w:val="both"/>
        <w:rPr>
          <w:rFonts w:ascii="Arial" w:hAnsi="Arial" w:cs="Arial"/>
          <w:sz w:val="28"/>
          <w:szCs w:val="28"/>
        </w:rPr>
      </w:pPr>
      <w:r w:rsidRPr="009A6EBE">
        <w:rPr>
          <w:rFonts w:ascii="Arial" w:hAnsi="Arial" w:cs="Arial"/>
          <w:sz w:val="28"/>
          <w:szCs w:val="28"/>
        </w:rPr>
        <w:t>9. TSMC R&amp;D Team (2025) '1nm node integration challenges and manufacturing solutions with 2D semiconductors', Proceedings of the International Electron Devices Meeting (IEDM), pp. 245–248.</w:t>
      </w:r>
    </w:p>
    <w:p w14:paraId="61A798BF" w14:textId="77777777" w:rsidR="009A6EBE" w:rsidRPr="009A6EBE" w:rsidRDefault="009A6EBE" w:rsidP="009A6EBE">
      <w:pPr>
        <w:spacing w:after="120"/>
        <w:jc w:val="both"/>
        <w:rPr>
          <w:rFonts w:ascii="Arial" w:hAnsi="Arial" w:cs="Arial"/>
          <w:sz w:val="28"/>
          <w:szCs w:val="28"/>
        </w:rPr>
      </w:pPr>
    </w:p>
    <w:p w14:paraId="433C9131" w14:textId="759BBC2A" w:rsidR="00E54449" w:rsidRPr="009A6EBE" w:rsidRDefault="009A6EBE" w:rsidP="009A6EBE">
      <w:pPr>
        <w:spacing w:after="120"/>
        <w:jc w:val="both"/>
        <w:rPr>
          <w:rFonts w:ascii="Arial" w:hAnsi="Arial" w:cs="Arial"/>
          <w:sz w:val="28"/>
          <w:szCs w:val="28"/>
        </w:rPr>
      </w:pPr>
      <w:r w:rsidRPr="009A6EBE">
        <w:rPr>
          <w:rFonts w:ascii="Arial" w:hAnsi="Arial" w:cs="Arial"/>
          <w:sz w:val="28"/>
          <w:szCs w:val="28"/>
        </w:rPr>
        <w:t>10. Wang, X. (2022) Advanced Semiconductor Devices and Nanostructures. Boca Raton: CRC Press.</w:t>
      </w:r>
    </w:p>
    <w:sectPr w:rsidR="00E54449" w:rsidRPr="009A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E"/>
    <w:rsid w:val="00503DA8"/>
    <w:rsid w:val="009A6EBE"/>
    <w:rsid w:val="00B444A4"/>
    <w:rsid w:val="00E54449"/>
    <w:rsid w:val="00EF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B31C"/>
  <w15:chartTrackingRefBased/>
  <w15:docId w15:val="{779EDC82-EA7D-43CA-B254-F178E83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E"/>
    <w:rPr>
      <w:rFonts w:eastAsiaTheme="majorEastAsia" w:cstheme="majorBidi"/>
      <w:color w:val="272727" w:themeColor="text1" w:themeTint="D8"/>
    </w:rPr>
  </w:style>
  <w:style w:type="paragraph" w:styleId="Title">
    <w:name w:val="Title"/>
    <w:basedOn w:val="Normal"/>
    <w:next w:val="Normal"/>
    <w:link w:val="TitleChar"/>
    <w:uiPriority w:val="10"/>
    <w:qFormat/>
    <w:rsid w:val="009A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E"/>
    <w:rPr>
      <w:i/>
      <w:iCs/>
      <w:color w:val="404040" w:themeColor="text1" w:themeTint="BF"/>
    </w:rPr>
  </w:style>
  <w:style w:type="paragraph" w:styleId="ListParagraph">
    <w:name w:val="List Paragraph"/>
    <w:basedOn w:val="Normal"/>
    <w:uiPriority w:val="34"/>
    <w:qFormat/>
    <w:rsid w:val="009A6EBE"/>
    <w:pPr>
      <w:ind w:left="720"/>
      <w:contextualSpacing/>
    </w:pPr>
  </w:style>
  <w:style w:type="character" w:styleId="IntenseEmphasis">
    <w:name w:val="Intense Emphasis"/>
    <w:basedOn w:val="DefaultParagraphFont"/>
    <w:uiPriority w:val="21"/>
    <w:qFormat/>
    <w:rsid w:val="009A6EBE"/>
    <w:rPr>
      <w:i/>
      <w:iCs/>
      <w:color w:val="0F4761" w:themeColor="accent1" w:themeShade="BF"/>
    </w:rPr>
  </w:style>
  <w:style w:type="paragraph" w:styleId="IntenseQuote">
    <w:name w:val="Intense Quote"/>
    <w:basedOn w:val="Normal"/>
    <w:next w:val="Normal"/>
    <w:link w:val="IntenseQuoteChar"/>
    <w:uiPriority w:val="30"/>
    <w:qFormat/>
    <w:rsid w:val="009A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BE"/>
    <w:rPr>
      <w:i/>
      <w:iCs/>
      <w:color w:val="0F4761" w:themeColor="accent1" w:themeShade="BF"/>
    </w:rPr>
  </w:style>
  <w:style w:type="character" w:styleId="IntenseReference">
    <w:name w:val="Intense Reference"/>
    <w:basedOn w:val="DefaultParagraphFont"/>
    <w:uiPriority w:val="32"/>
    <w:qFormat/>
    <w:rsid w:val="009A6EBE"/>
    <w:rPr>
      <w:b/>
      <w:bCs/>
      <w:smallCaps/>
      <w:color w:val="0F4761" w:themeColor="accent1" w:themeShade="BF"/>
      <w:spacing w:val="5"/>
    </w:rPr>
  </w:style>
  <w:style w:type="table" w:styleId="TableGrid">
    <w:name w:val="Table Grid"/>
    <w:basedOn w:val="TableNormal"/>
    <w:uiPriority w:val="39"/>
    <w:rsid w:val="009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2</cp:revision>
  <dcterms:created xsi:type="dcterms:W3CDTF">2026-05-27T07:58:00Z</dcterms:created>
  <dcterms:modified xsi:type="dcterms:W3CDTF">2026-05-27T08:10:00Z</dcterms:modified>
</cp:coreProperties>
</file>