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Итоговый отчёт по аудиту работ партнёра</w:t>
      </w:r>
    </w:p>
    <w:p>
      <w:r>
        <w:t>Задание 5. Аудит работ партнёра по Заданиям 1–4</w:t>
      </w:r>
    </w:p>
    <w:p>
      <w:r>
        <w:t>Аудитор: Самородов Фёдор</w:t>
      </w:r>
    </w:p>
    <w:p>
      <w:r>
        <w:t>Партнёр: Шабунин Артём</w:t>
      </w:r>
    </w:p>
    <w:p>
      <w:r>
        <w:t>Проект партнёра: система надзора за городским пассажирским транспортом на базе 1С</w:t>
      </w:r>
    </w:p>
    <w:p>
      <w:pPr>
        <w:pStyle w:val="Heading1"/>
      </w:pPr>
      <w:r>
        <w:t>Сводная оценка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Работа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Итоговая оценка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Главный вывод</w:t>
            </w:r>
          </w:p>
        </w:tc>
      </w:tr>
      <w:tr>
        <w:tc>
          <w:tcPr>
            <w:tcW w:type="dxa" w:w="2160"/>
          </w:tcPr>
          <w:p>
            <w:r>
              <w:t>Задание 1: конкуренты, SWOT, SLA</w:t>
            </w:r>
          </w:p>
        </w:tc>
        <w:tc>
          <w:tcPr>
            <w:tcW w:type="dxa" w:w="2160"/>
          </w:tcPr>
          <w:p>
            <w:r>
              <w:t>82 / 120</w:t>
            </w:r>
          </w:p>
        </w:tc>
        <w:tc>
          <w:tcPr>
            <w:tcW w:type="dxa" w:w="2160"/>
          </w:tcPr>
          <w:p>
            <w:r>
              <w:t>Удовлетворительно</w:t>
            </w:r>
          </w:p>
        </w:tc>
        <w:tc>
          <w:tcPr>
            <w:tcW w:type="dxa" w:w="2160"/>
          </w:tcPr>
          <w:p>
            <w:r>
              <w:t>После снятия замечаний по SWOT остаются методологические проблемы бенчмаркинга и SLA.</w:t>
            </w:r>
          </w:p>
        </w:tc>
      </w:tr>
      <w:tr>
        <w:tc>
          <w:tcPr>
            <w:tcW w:type="dxa" w:w="2160"/>
          </w:tcPr>
          <w:p>
            <w:r>
              <w:t>Задание 2: ITIL, RACI, регламенты</w:t>
            </w:r>
          </w:p>
        </w:tc>
        <w:tc>
          <w:tcPr>
            <w:tcW w:type="dxa" w:w="2160"/>
          </w:tcPr>
          <w:p>
            <w:r>
              <w:t>104 / 117</w:t>
            </w:r>
          </w:p>
        </w:tc>
        <w:tc>
          <w:tcPr>
            <w:tcW w:type="dxa" w:w="2160"/>
          </w:tcPr>
          <w:p>
            <w:r>
              <w:t>Хорошо</w:t>
            </w:r>
          </w:p>
        </w:tc>
        <w:tc>
          <w:tcPr>
            <w:tcW w:type="dxa" w:w="2160"/>
          </w:tcPr>
          <w:p>
            <w:r>
              <w:t>Сильный RACI и структура регламентов; нужно усилить SLM и Problem Management.</w:t>
            </w:r>
          </w:p>
        </w:tc>
      </w:tr>
      <w:tr>
        <w:tc>
          <w:tcPr>
            <w:tcW w:type="dxa" w:w="2160"/>
          </w:tcPr>
          <w:p>
            <w:r>
              <w:t>Задание 3: метрики, мониторинг, алерты</w:t>
            </w:r>
          </w:p>
        </w:tc>
        <w:tc>
          <w:tcPr>
            <w:tcW w:type="dxa" w:w="2160"/>
          </w:tcPr>
          <w:p>
            <w:r>
              <w:t>82 / 104</w:t>
            </w:r>
          </w:p>
        </w:tc>
        <w:tc>
          <w:tcPr>
            <w:tcW w:type="dxa" w:w="2160"/>
          </w:tcPr>
          <w:p>
            <w:r>
              <w:t>Хорошо</w:t>
            </w:r>
          </w:p>
        </w:tc>
        <w:tc>
          <w:tcPr>
            <w:tcW w:type="dxa" w:w="2160"/>
          </w:tcPr>
          <w:p>
            <w:r>
              <w:t>Метрики и дашборд есть; алерты нужно перевести из отчётности в реактивный формат.</w:t>
            </w:r>
          </w:p>
        </w:tc>
      </w:tr>
      <w:tr>
        <w:tc>
          <w:tcPr>
            <w:tcW w:type="dxa" w:w="2160"/>
          </w:tcPr>
          <w:p>
            <w:r>
              <w:t>Задание 4: TCO, ROI</w:t>
            </w:r>
          </w:p>
        </w:tc>
        <w:tc>
          <w:tcPr>
            <w:tcW w:type="dxa" w:w="2160"/>
          </w:tcPr>
          <w:p>
            <w:r>
              <w:t>114 / 120</w:t>
            </w:r>
          </w:p>
        </w:tc>
        <w:tc>
          <w:tcPr>
            <w:tcW w:type="dxa" w:w="2160"/>
          </w:tcPr>
          <w:p>
            <w:r>
              <w:t>Отлично</w:t>
            </w:r>
          </w:p>
        </w:tc>
        <w:tc>
          <w:tcPr>
            <w:tcW w:type="dxa" w:w="2160"/>
          </w:tcPr>
          <w:p>
            <w:r>
              <w:t>Сильная финансовая модель; остались точечные замечания к TCO, допущениям и альтернативам.</w:t>
            </w:r>
          </w:p>
        </w:tc>
      </w:tr>
    </w:tbl>
    <w:p/>
    <w:p>
      <w:pPr>
        <w:pStyle w:val="Heading1"/>
      </w:pPr>
      <w:r>
        <w:t>Общий вывод</w:t>
      </w:r>
    </w:p>
    <w:p>
      <w:r>
        <w:t>Комплект работ партнёра в целом показывает понимание предметной области, ITIL-подхода, метрик и финансового обоснования. Самые сильные блоки — Задание 4 и RACI в Задании 2. Основные зоны роста — измеримость SLA, числовой бенчмаркинг, реактивный alerting, Service Level Management и эксплуатационная устойчивость инфраструктуры.</w:t>
      </w:r>
    </w:p>
    <w:p>
      <w:r>
        <w:br w:type="page"/>
      </w:r>
    </w:p>
    <w:p>
      <w:pPr>
        <w:pStyle w:val="Heading1"/>
      </w:pPr>
      <w:r>
        <w:t>Задание 1 - финальный скоринг</w:t>
      </w:r>
    </w:p>
    <w:p>
      <w:pPr/>
      <w:r>
        <w:rPr>
          <w:b/>
          <w:sz w:val="28"/>
        </w:rPr>
        <w:t>Задание 1. Финальный скоринг (аудит работы партнера)</w:t>
      </w:r>
    </w:p>
    <w:p>
      <w:pPr/>
      <w:r>
        <w:rPr/>
        <w:t>Проект партнера: система надзора за городским пассажирским транспортом на базе 1С.</w:t>
      </w:r>
    </w:p>
    <w:p>
      <w:pPr/>
      <w:r>
        <w:rPr/>
        <w:t>Итоговая оценка: 8</w:t>
      </w:r>
      <w:r>
        <w:rPr/>
        <w:t>6</w:t>
      </w:r>
      <w:r>
        <w:rPr/>
        <w:t xml:space="preserve"> из 120. Категория: </w:t>
      </w:r>
      <w:r>
        <w:rPr/>
        <w:t>хорошо</w:t>
      </w:r>
      <w:r>
        <w:rPr/>
        <w:t>.</w:t>
      </w:r>
    </w:p>
    <w:p>
      <w:pPr/>
      <w:r>
        <w:rPr/>
        <w:t xml:space="preserve">Учтено по диалогу с партнером: замечания по качеству </w:t>
      </w:r>
      <w:r>
        <w:rPr/>
        <w:t>SWOT</w:t>
      </w:r>
      <w:r>
        <w:rPr/>
        <w:t xml:space="preserve"> сняты. Ниже — пересчитанный скоринг с повышением баллов по критериям полноты, методологии и глубины </w:t>
      </w:r>
      <w:r>
        <w:rPr/>
        <w:t>SWOT</w:t>
      </w:r>
      <w:r>
        <w:rPr/>
        <w:t xml:space="preserve">. Сохранены существенные недочеты по выбору конкурентов, числовому бенчмаркингу, итоговым выводам и формализации </w:t>
      </w:r>
      <w:r>
        <w:rPr/>
        <w:t>SLA</w:t>
      </w:r>
      <w:r>
        <w:rPr/>
        <w:t>.</w:t>
      </w:r>
    </w:p>
    <w:p>
      <w:pPr>
        <w:pStyle w:val="Heading1"/>
      </w:pPr>
      <w:r>
        <w:rPr/>
        <w:t xml:space="preserve">Блок 1. Анализ конкурентов, </w:t>
      </w:r>
      <w:r>
        <w:rPr/>
        <w:t>SWOT</w:t>
      </w:r>
      <w:r>
        <w:rPr/>
        <w:t>, бенчмаркинг</w:t>
      </w:r>
    </w:p>
    <w:p>
      <w:pPr/>
      <w:r>
        <w:rPr/>
        <w:t>Набрано баллов по блоку: 4</w:t>
      </w:r>
      <w:r>
        <w:rPr/>
        <w:t>9</w:t>
      </w:r>
      <w:r>
        <w:rPr/>
        <w:t xml:space="preserve"> из 60.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Критерий</w:t>
            </w:r>
          </w:p>
        </w:tc>
        <w:tc>
          <w:tcPr>
            <w:tcW w:type="dxa" w:w="2160"/>
          </w:tcPr>
          <w:p>
            <w:r>
              <w:t>Макс.</w:t>
            </w:r>
          </w:p>
        </w:tc>
        <w:tc>
          <w:tcPr>
            <w:tcW w:type="dxa" w:w="2160"/>
          </w:tcPr>
          <w:p>
            <w:r>
              <w:t>Балл</w:t>
            </w:r>
          </w:p>
        </w:tc>
        <w:tc>
          <w:tcPr>
            <w:tcW w:type="dxa" w:w="2160"/>
          </w:tcPr>
          <w:p>
            <w:r>
              <w:t>Обоснование</w:t>
            </w:r>
          </w:p>
        </w:tc>
      </w:tr>
      <w:tr>
        <w:tc>
          <w:tcPr>
            <w:tcW w:type="dxa" w:w="2160"/>
          </w:tcPr>
          <w:p>
            <w:r>
              <w:t>Выбор конкурентов (×2)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 xml:space="preserve">Представлено только 3 конкурентных решения </w:t>
            </w:r>
          </w:p>
        </w:tc>
      </w:tr>
      <w:tr>
        <w:tc>
          <w:tcPr>
            <w:tcW w:type="dxa" w:w="2160"/>
          </w:tcPr>
          <w:p>
            <w:r>
              <w:t>Обоснование выбора (×2)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Нет отдельного явного блока «почему именно эти конкуренты» с критериями отбора.</w:t>
            </w:r>
          </w:p>
        </w:tc>
      </w:tr>
      <w:tr>
        <w:tc>
          <w:tcPr>
            <w:tcW w:type="dxa" w:w="2160"/>
          </w:tcPr>
          <w:p>
            <w:r>
              <w:t>Полнота SWOT (×3)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После снятия замечаний по качеству SWOT балл повышен: анализ по конкурентам признан достаточным по объему квадрантов.</w:t>
            </w:r>
          </w:p>
        </w:tc>
      </w:tr>
      <w:tr>
        <w:tc>
          <w:tcPr>
            <w:tcW w:type="dxa" w:w="2160"/>
          </w:tcPr>
          <w:p>
            <w:r>
              <w:t>Методологическая корректность SWOT (×2)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После диалога по SWOT методологическая корректность признана удовлетворительной; существенных претензий не остается.</w:t>
            </w:r>
          </w:p>
        </w:tc>
      </w:tr>
      <w:tr>
        <w:tc>
          <w:tcPr>
            <w:tcW w:type="dxa" w:w="2160"/>
          </w:tcPr>
          <w:p>
            <w:r>
              <w:t>Глубина анализа (×2)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Глубина достаточная для учебной работы; резерв связан с ограниченным числом конкурентов и без числового бенчмаркинга.</w:t>
            </w:r>
          </w:p>
        </w:tc>
      </w:tr>
      <w:tr>
        <w:tc>
          <w:tcPr>
            <w:tcW w:type="dxa" w:w="2160"/>
          </w:tcPr>
          <w:p>
            <w:r>
              <w:t>Бенчмаркинг (×2)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Есть сравнение и колонка «мой проект», но без числовой шкалы, весов и итогового score.</w:t>
            </w:r>
          </w:p>
        </w:tc>
      </w:tr>
      <w:tr>
        <w:tc>
          <w:tcPr>
            <w:tcW w:type="dxa" w:w="2160"/>
          </w:tcPr>
          <w:p>
            <w:r>
              <w:t>Обоснование критериев бенчмаркинга (×1)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Критерии сравнения логичны для предметной области.</w:t>
            </w:r>
          </w:p>
        </w:tc>
      </w:tr>
      <w:tr>
        <w:tc>
          <w:tcPr>
            <w:tcW w:type="dxa" w:w="2160"/>
          </w:tcPr>
          <w:p>
            <w:r>
              <w:t>Выводы (×1)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Выводы по сегментам и роли решения есть, но мало количественного сравнения с конкурентами.</w:t>
            </w:r>
          </w:p>
        </w:tc>
      </w:tr>
    </w:tbl>
    <w:p/>
    <w:p>
      <w:pPr>
        <w:pStyle w:val="Heading1"/>
      </w:pPr>
      <w:r>
        <w:rPr/>
        <w:t xml:space="preserve">Блок 2. </w:t>
      </w:r>
      <w:r>
        <w:rPr/>
        <w:t>SLA</w:t>
      </w:r>
    </w:p>
    <w:p>
      <w:pPr/>
      <w:r>
        <w:rPr/>
        <w:t>Набрано баллов по блоку: 37 из 60.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Критерий</w:t>
            </w:r>
          </w:p>
        </w:tc>
        <w:tc>
          <w:tcPr>
            <w:tcW w:type="dxa" w:w="2160"/>
          </w:tcPr>
          <w:p>
            <w:r>
              <w:t>Макс.</w:t>
            </w:r>
          </w:p>
        </w:tc>
        <w:tc>
          <w:tcPr>
            <w:tcW w:type="dxa" w:w="2160"/>
          </w:tcPr>
          <w:p>
            <w:r>
              <w:t>Балл</w:t>
            </w:r>
          </w:p>
        </w:tc>
        <w:tc>
          <w:tcPr>
            <w:tcW w:type="dxa" w:w="2160"/>
          </w:tcPr>
          <w:p>
            <w:r>
              <w:t>Обоснование</w:t>
            </w:r>
          </w:p>
        </w:tc>
      </w:tr>
      <w:tr>
        <w:tc>
          <w:tcPr>
            <w:tcW w:type="dxa" w:w="2160"/>
          </w:tcPr>
          <w:p>
            <w:r>
              <w:t>Полнота (×3)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Три категории присутствуют; не везде зафиксированы стороны соглашения и санкции/последствия нарушения.</w:t>
            </w:r>
          </w:p>
        </w:tc>
      </w:tr>
      <w:tr>
        <w:tc>
          <w:tcPr>
            <w:tcW w:type="dxa" w:w="2160"/>
          </w:tcPr>
          <w:p>
            <w:r>
              <w:t>Формализация метрик (×2)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У части пунктов нет измеримой метрики (описание процедуры вместо SLA), не везде указаны период и источник данных.</w:t>
            </w:r>
          </w:p>
        </w:tc>
      </w:tr>
      <w:tr>
        <w:tc>
          <w:tcPr>
            <w:tcW w:type="dxa" w:w="2160"/>
          </w:tcPr>
          <w:p>
            <w:r>
              <w:t>IT-SLA (×2)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Сильная сторона — приоритеты инцидентов и latency ГЛОНАСС. Смешение с RBAC, резервным копированием; uptime сформулирован неоднозначно.</w:t>
            </w:r>
          </w:p>
        </w:tc>
      </w:tr>
      <w:tr>
        <w:tc>
          <w:tcPr>
            <w:tcW w:type="dxa" w:w="2160"/>
          </w:tcPr>
          <w:p>
            <w:r>
              <w:t>Операционный SLA (×2)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Мало измеримых сервисных метрик; много процедурных требований (шаблоны, мессенджеры) вместо SLA уровня услуги.</w:t>
            </w:r>
          </w:p>
        </w:tc>
      </w:tr>
      <w:tr>
        <w:tc>
          <w:tcPr>
            <w:tcW w:type="dxa" w:w="2160"/>
          </w:tcPr>
          <w:p>
            <w:r>
              <w:t>BD / Sales / Marketing SLA (×2)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Часть пунктов ближе к KPI эффекта внедрения, чем к уровню сервиса; диапазоны вместо жестких порогов.</w:t>
            </w:r>
          </w:p>
        </w:tc>
      </w:tr>
      <w:tr>
        <w:tc>
          <w:tcPr>
            <w:tcW w:type="dxa" w:w="2160"/>
          </w:tcPr>
          <w:p>
            <w:r>
              <w:t>Обоснование SLA (×2)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Недостаточно объяснений, почему выбраны именно такие пороги и как они связаны с архитектурой и нагрузкой.</w:t>
            </w:r>
          </w:p>
        </w:tc>
      </w:tr>
      <w:tr>
        <w:tc>
          <w:tcPr>
            <w:tcW w:type="dxa" w:w="2160"/>
          </w:tcPr>
          <w:p>
            <w:r>
              <w:t>Реалистичность (×1)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В целом правдоподобно; вопросы к формулировке доступности «24 часа» без числового SLO.</w:t>
            </w:r>
          </w:p>
        </w:tc>
      </w:tr>
      <w:tr>
        <w:tc>
          <w:tcPr>
            <w:tcW w:type="dxa" w:w="2160"/>
          </w:tcPr>
          <w:p>
            <w:r>
              <w:t>Связь с ВКР (×1)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SLA привязаны к функциям надзора и интеграциям проекта.</w:t>
            </w:r>
          </w:p>
        </w:tc>
      </w:tr>
    </w:tbl>
    <w:p/>
    <w:p>
      <w:pPr>
        <w:pStyle w:val="Heading1"/>
      </w:pPr>
      <w:r>
        <w:rPr/>
        <w:t>Итог по заданию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Раздел</w:t>
            </w:r>
          </w:p>
        </w:tc>
        <w:tc>
          <w:tcPr>
            <w:tcW w:type="dxa" w:w="2880"/>
          </w:tcPr>
          <w:p>
            <w:r>
              <w:t>Макс.</w:t>
            </w:r>
          </w:p>
        </w:tc>
        <w:tc>
          <w:tcPr>
            <w:tcW w:type="dxa" w:w="2880"/>
          </w:tcPr>
          <w:p>
            <w:r>
              <w:t>Балл</w:t>
            </w:r>
          </w:p>
        </w:tc>
      </w:tr>
      <w:tr>
        <w:tc>
          <w:tcPr>
            <w:tcW w:type="dxa" w:w="2880"/>
          </w:tcPr>
          <w:p>
            <w:r>
              <w:t>Блок 1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Блок 2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Всего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</w:tbl>
    <w:p/>
    <w:p>
      <w:pPr>
        <w:pStyle w:val="Heading1"/>
      </w:pPr>
      <w:r>
        <w:rPr/>
        <w:t>Сильные стороны</w:t>
      </w:r>
    </w:p>
    <w:p>
      <w:pPr>
        <w:pStyle w:val="ListBullet"/>
      </w:pPr>
      <w:r>
        <w:rPr/>
        <w:t>Подробная схема подсистем 1С:УАТ.</w:t>
      </w:r>
    </w:p>
    <w:p>
      <w:pPr>
        <w:pStyle w:val="ListBullet"/>
      </w:pPr>
      <w:r>
        <w:rPr/>
        <w:t>В бенчмаркинге присутствует колонка «мой проект» по всем критериям.</w:t>
      </w:r>
    </w:p>
    <w:p>
      <w:pPr>
        <w:pStyle w:val="ListBullet"/>
      </w:pPr>
      <w:r>
        <w:rPr/>
        <w:t>Скриншоты интерфейса Такском-Транспорт.</w:t>
      </w:r>
    </w:p>
    <w:p>
      <w:pPr>
        <w:pStyle w:val="ListBullet"/>
      </w:pPr>
      <w:r>
        <w:rPr/>
        <w:t>Градация приоритетов инцидентов с временными порогами.</w:t>
      </w:r>
    </w:p>
    <w:p>
      <w:pPr>
        <w:pStyle w:val="ListBullet"/>
      </w:pPr>
      <w:r>
        <w:rPr/>
        <w:t>Latency</w:t>
      </w:r>
      <w:r>
        <w:rPr/>
        <w:t xml:space="preserve"> данных ГЛОНАСС согласована с предметной областью.</w:t>
      </w:r>
    </w:p>
    <w:p>
      <w:pPr>
        <w:pStyle w:val="Heading1"/>
      </w:pPr>
      <w:r>
        <w:rPr/>
        <w:t>Существенные замечания (остались после диалога)</w:t>
      </w:r>
    </w:p>
    <w:p>
      <w:pPr>
        <w:pStyle w:val="ListNumber"/>
      </w:pPr>
      <w:r>
        <w:rPr/>
        <w:t xml:space="preserve">Бенчмаркинг без числовой шкалы, весов и итогового </w:t>
      </w:r>
      <w:r>
        <w:rPr/>
        <w:t>score</w:t>
      </w:r>
      <w:r>
        <w:rPr/>
        <w:t>.</w:t>
      </w:r>
    </w:p>
    <w:p>
      <w:pPr>
        <w:pStyle w:val="ListNumber"/>
      </w:pPr>
      <w:r>
        <w:rPr/>
        <w:t>Итоговый вывод слабо количественный.</w:t>
      </w:r>
    </w:p>
    <w:p>
      <w:pPr>
        <w:pStyle w:val="ListNumber"/>
      </w:pPr>
      <w:r>
        <w:rPr/>
        <w:t>SLA</w:t>
      </w:r>
      <w:r>
        <w:rPr/>
        <w:t xml:space="preserve"> пересекается с </w:t>
      </w:r>
      <w:r>
        <w:rPr/>
        <w:t>RBAC</w:t>
      </w:r>
      <w:r>
        <w:rPr/>
        <w:t xml:space="preserve">, регламентами и </w:t>
      </w:r>
      <w:r>
        <w:rPr/>
        <w:t>KPI</w:t>
      </w:r>
      <w:r>
        <w:rPr/>
        <w:t>; не везде есть измеримость и стороны соглашения.</w:t>
      </w:r>
    </w:p>
    <w:p>
      <w:pPr>
        <w:pStyle w:val="Heading1"/>
      </w:pPr>
      <w:r>
        <w:rPr/>
        <w:t>Рекомендации (P0 / P1)</w:t>
      </w:r>
    </w:p>
    <w:p>
      <w:pPr>
        <w:pStyle w:val="ListBullet"/>
      </w:pPr>
      <w:r>
        <w:rPr/>
        <w:t>P</w:t>
      </w:r>
      <w:r>
        <w:rPr/>
        <w:t>0: перевести бенчмаркинг на числовую шкалу с весами и суммарным баллом по каждому решению.</w:t>
      </w:r>
    </w:p>
    <w:p>
      <w:pPr>
        <w:pStyle w:val="ListBullet"/>
      </w:pPr>
      <w:r>
        <w:rPr/>
        <w:t>P</w:t>
      </w:r>
      <w:r>
        <w:rPr/>
        <w:t xml:space="preserve">0: выделить чистые </w:t>
      </w:r>
      <w:r>
        <w:rPr/>
        <w:t>SLA</w:t>
      </w:r>
      <w:r>
        <w:rPr/>
        <w:t xml:space="preserve">-метрики; </w:t>
      </w:r>
      <w:r>
        <w:rPr/>
        <w:t>RBAC</w:t>
      </w:r>
      <w:r>
        <w:rPr/>
        <w:t xml:space="preserve"> и регламенты вынести отдельно.</w:t>
      </w:r>
    </w:p>
    <w:p>
      <w:pPr>
        <w:pStyle w:val="ListBullet"/>
      </w:pPr>
      <w:r>
        <w:rPr/>
        <w:t>P</w:t>
      </w:r>
      <w:r>
        <w:rPr/>
        <w:t>1: расширить список релевантных конкурентов (диспетчеризация, транспортные ГИС, мониторинг перевозок).</w:t>
      </w:r>
    </w:p>
    <w:p>
      <w:pPr>
        <w:pStyle w:val="ListBullet"/>
      </w:pPr>
      <w:r>
        <w:rPr/>
        <w:t>P</w:t>
      </w:r>
      <w:r>
        <w:rPr/>
        <w:t xml:space="preserve">1: для каждого </w:t>
      </w:r>
      <w:r>
        <w:rPr/>
        <w:t>SLA</w:t>
      </w:r>
      <w:r>
        <w:rPr/>
        <w:t xml:space="preserve"> — метод расчета, источник, период, владелец, последствия нарушения.</w:t>
      </w:r>
    </w:p>
    <w:p>
      <w:pPr>
        <w:pStyle w:val="ListBullet"/>
      </w:pPr>
      <w:r>
        <w:rPr/>
        <w:t>P</w:t>
      </w:r>
      <w:r>
        <w:rPr/>
        <w:t>1: итоговый вывод в цифрах: ниша, преимущество, пробелы относительно лидеров.</w:t>
      </w:r>
    </w:p>
    <w:p>
      <w:pPr>
        <w:pStyle w:val="Heading1"/>
      </w:pPr>
      <w:r>
        <w:rPr/>
        <w:t>Потенциал</w:t>
      </w:r>
    </w:p>
    <w:p>
      <w:pPr/>
      <w:r>
        <w:rPr/>
        <w:t xml:space="preserve">При закрытии </w:t>
      </w:r>
      <w:r>
        <w:rPr/>
        <w:t>P</w:t>
      </w:r>
      <w:r>
        <w:rPr/>
        <w:t xml:space="preserve">0 по бенчмаркингу и </w:t>
      </w:r>
      <w:r>
        <w:rPr/>
        <w:t>SLA</w:t>
      </w:r>
      <w:r>
        <w:rPr/>
        <w:t xml:space="preserve"> оценка может вырасти примерно до 92–96/120. При </w:t>
      </w:r>
      <w:r>
        <w:rPr/>
        <w:t>P</w:t>
      </w:r>
      <w:r>
        <w:rPr/>
        <w:t>0+</w:t>
      </w:r>
      <w:r>
        <w:rPr/>
        <w:t>P</w:t>
      </w:r>
      <w:r>
        <w:rPr/>
        <w:t>1 — до 100–104/120 (категория «хорошо»).</w:t>
      </w:r>
    </w:p>
    <w:p>
      <w:pPr>
        <w:pStyle w:val="Heading1"/>
      </w:pPr>
      <w:r>
        <w:rPr/>
        <w:t>Карта рисков (вероятность × влияние)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Низкое влияние</w:t>
            </w:r>
          </w:p>
        </w:tc>
        <w:tc>
          <w:tcPr>
            <w:tcW w:type="dxa" w:w="2160"/>
          </w:tcPr>
          <w:p>
            <w:r>
              <w:t>Среднее влияние</w:t>
            </w:r>
          </w:p>
        </w:tc>
        <w:tc>
          <w:tcPr>
            <w:tcW w:type="dxa" w:w="2160"/>
          </w:tcPr>
          <w:p>
            <w:r>
              <w:t>Высокое влияние</w:t>
            </w:r>
          </w:p>
        </w:tc>
      </w:tr>
      <w:tr>
        <w:tc>
          <w:tcPr>
            <w:tcW w:type="dxa" w:w="2160"/>
          </w:tcPr>
          <w:p>
            <w:r>
              <w:t>Высокая вероятность</w:t>
            </w:r>
          </w:p>
        </w:tc>
        <w:tc>
          <w:tcPr>
            <w:tcW w:type="dxa" w:w="2160"/>
          </w:tcPr>
          <w:p>
            <w:r>
              <w:t>Слабый количественный итог</w:t>
            </w:r>
          </w:p>
        </w:tc>
        <w:tc>
          <w:tcPr>
            <w:tcW w:type="dxa" w:w="2160"/>
          </w:tcPr>
          <w:p>
            <w:r>
              <w:t>Процедуры вместо операционных SLA</w:t>
            </w:r>
          </w:p>
        </w:tc>
        <w:tc>
          <w:tcPr>
            <w:tcW w:type="dxa" w:w="2160"/>
          </w:tcPr>
          <w:p>
            <w:r>
              <w:t>Цветовой бенчмаркинг без score</w:t>
            </w:r>
          </w:p>
        </w:tc>
      </w:tr>
      <w:tr>
        <w:tc>
          <w:tcPr>
            <w:tcW w:type="dxa" w:w="2160"/>
          </w:tcPr>
          <w:p>
            <w:r>
              <w:t>Средняя вероятность</w:t>
            </w:r>
          </w:p>
        </w:tc>
        <w:tc>
          <w:tcPr>
            <w:tcW w:type="dxa" w:w="2160"/>
          </w:tcPr>
          <w:p>
            <w:r>
              <w:t>Нет явного обоснования отбора конкурентов</w:t>
            </w:r>
          </w:p>
        </w:tc>
        <w:tc>
          <w:tcPr>
            <w:tcW w:type="dxa" w:w="2160"/>
          </w:tcPr>
          <w:p>
            <w:r>
              <w:t>Нет санкций и владельцев по ряду SLA</w:t>
            </w:r>
          </w:p>
        </w:tc>
        <w:tc>
          <w:tcPr>
            <w:tcW w:type="dxa" w:w="2160"/>
          </w:tcPr>
          <w:p>
            <w:r>
              <w:t>Неполное покрытие рынка решений</w:t>
            </w:r>
          </w:p>
        </w:tc>
      </w:tr>
      <w:tr>
        <w:tc>
          <w:tcPr>
            <w:tcW w:type="dxa" w:w="2160"/>
          </w:tcPr>
          <w:p>
            <w:r>
              <w:t>Низкая вероятность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 везде задан период измерения SLA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Задание 2 - финальный скоринг</w:t>
      </w:r>
    </w:p>
    <w:p>
      <w:pPr/>
      <w:r>
        <w:rPr>
          <w:b/>
          <w:sz w:val="28"/>
        </w:rPr>
        <w:t>Задание 2. Финальный скоринг (</w:t>
      </w:r>
      <w:r>
        <w:rPr>
          <w:b/>
          <w:sz w:val="28"/>
        </w:rPr>
        <w:t>ITIL</w:t>
      </w:r>
      <w:r>
        <w:rPr>
          <w:b/>
          <w:sz w:val="28"/>
        </w:rPr>
        <w:t xml:space="preserve">, </w:t>
      </w:r>
      <w:r>
        <w:rPr>
          <w:b/>
          <w:sz w:val="28"/>
        </w:rPr>
        <w:t>RACI</w:t>
      </w:r>
      <w:r>
        <w:rPr>
          <w:b/>
          <w:sz w:val="28"/>
        </w:rPr>
        <w:t>, регламенты)</w:t>
      </w:r>
    </w:p>
    <w:p>
      <w:pPr/>
      <w:r>
        <w:rPr/>
        <w:t>Проект партнера: система надзора за городским пассажирским транспортом на базе 1С.</w:t>
      </w:r>
    </w:p>
    <w:p>
      <w:pPr/>
      <w:r>
        <w:rPr/>
        <w:t xml:space="preserve">Итоговая оценка: 104 из 117. Категория: </w:t>
      </w:r>
      <w:r>
        <w:rPr/>
        <w:t>Хорошо</w:t>
      </w:r>
      <w:r>
        <w:rPr/>
        <w:t>.</w:t>
      </w:r>
    </w:p>
    <w:p>
      <w:pPr/>
      <w:r>
        <w:rPr/>
        <w:t xml:space="preserve">По диалогу снято замечание об отсутствии роли городского надзорного органа в </w:t>
      </w:r>
      <w:r>
        <w:rPr/>
        <w:t>RACI</w:t>
      </w:r>
      <w:r>
        <w:rPr/>
        <w:t xml:space="preserve"> — блок </w:t>
      </w:r>
      <w:r>
        <w:rPr/>
        <w:t>RACI</w:t>
      </w:r>
      <w:r>
        <w:rPr/>
        <w:t xml:space="preserve"> оценивается без штрафа по этому пункту (28/28).</w:t>
      </w:r>
    </w:p>
    <w:p>
      <w:pPr>
        <w:pStyle w:val="Heading1"/>
      </w:pPr>
      <w:r>
        <w:rPr/>
        <w:t xml:space="preserve">Блок </w:t>
      </w:r>
      <w:r>
        <w:rPr/>
        <w:t>ITIL</w:t>
      </w:r>
      <w:r>
        <w:rPr/>
        <w:t>-процессы</w:t>
      </w:r>
    </w:p>
    <w:p>
      <w:pPr/>
      <w:r>
        <w:rPr/>
        <w:t>Набрано баллов: 34 из 44.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 (макс. балл)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 (вес×балл)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Выбор релевантных ITIL-процессов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Incident / Problem / Change уместны для эксплуатации и развития системы.</w:t>
            </w:r>
          </w:p>
        </w:tc>
      </w:tr>
      <w:tr>
        <w:tc>
          <w:tcPr>
            <w:tcW w:type="dxa" w:w="1728"/>
          </w:tcPr>
          <w:p>
            <w:r>
              <w:t>Обоснование выбора процессов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Недостаточно явной привязки к рискам надзора: ГЛОНАСС, фотофиксация, релизы 1С, SLA из задания 1.</w:t>
            </w:r>
          </w:p>
        </w:tc>
      </w:tr>
      <w:tr>
        <w:tc>
          <w:tcPr>
            <w:tcW w:type="dxa" w:w="1728"/>
          </w:tcPr>
          <w:p>
            <w:r>
              <w:t>Описание целей процессов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Цель Incident Management сформулирована узко (акцент на отдельных операциях операторов), а не на всей системе.</w:t>
            </w:r>
          </w:p>
        </w:tc>
      </w:tr>
      <w:tr>
        <w:tc>
          <w:tcPr>
            <w:tcW w:type="dxa" w:w="1728"/>
          </w:tcPr>
          <w:p>
            <w:r>
              <w:t>Определение границ процессов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Границы в целом заданы корректно.</w:t>
            </w:r>
          </w:p>
        </w:tc>
      </w:tr>
      <w:tr>
        <w:tc>
          <w:tcPr>
            <w:tcW w:type="dxa" w:w="1728"/>
          </w:tcPr>
          <w:p>
            <w:r>
              <w:t>Описание ролей процессов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Роли перечислены и соотносятся с этапами.</w:t>
            </w:r>
          </w:p>
        </w:tc>
      </w:tr>
      <w:tr>
        <w:tc>
          <w:tcPr>
            <w:tcW w:type="dxa" w:w="1728"/>
          </w:tcPr>
          <w:p>
            <w:r>
              <w:t>Описание этапов процессов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Этапы проработаны.</w:t>
            </w:r>
          </w:p>
        </w:tc>
      </w:tr>
      <w:tr>
        <w:tc>
          <w:tcPr>
            <w:tcW w:type="dxa" w:w="1728"/>
          </w:tcPr>
          <w:p>
            <w:r>
              <w:t>Связь процессов между собой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Связи указаны; небольшой штраф за отсутствие явного SLM как связки с SLA из задания 1.</w:t>
            </w:r>
          </w:p>
        </w:tc>
      </w:tr>
    </w:tbl>
    <w:p/>
    <w:p>
      <w:pPr>
        <w:pStyle w:val="Heading1"/>
      </w:pPr>
      <w:r>
        <w:rPr/>
        <w:t xml:space="preserve">Блок </w:t>
      </w:r>
      <w:r>
        <w:rPr/>
        <w:t>RACI</w:t>
      </w:r>
    </w:p>
    <w:p>
      <w:pPr/>
      <w:r>
        <w:rPr/>
        <w:t>Набрано баллов: 28 из 28.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 (макс. балл)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 (вес×балл)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Наличие матрицы RACI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Матрицы есть по процессам.</w:t>
            </w:r>
          </w:p>
        </w:tc>
      </w:tr>
      <w:tr>
        <w:tc>
          <w:tcPr>
            <w:tcW w:type="dxa" w:w="1728"/>
          </w:tcPr>
          <w:p>
            <w:r>
              <w:t>Логика распределения ролей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Распределение выглядит последовательным.</w:t>
            </w:r>
          </w:p>
        </w:tc>
      </w:tr>
      <w:tr>
        <w:tc>
          <w:tcPr>
            <w:tcW w:type="dxa" w:w="1728"/>
          </w:tcPr>
          <w:p>
            <w:r>
              <w:t>Отсутствие конфликтов ответственности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Конфликтов не выявлено.</w:t>
            </w:r>
          </w:p>
        </w:tc>
      </w:tr>
      <w:tr>
        <w:tc>
          <w:tcPr>
            <w:tcW w:type="dxa" w:w="1728"/>
          </w:tcPr>
          <w:p>
            <w:r>
              <w:t>Связь ролей с процессами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Роли покрывают ключевые активности.</w:t>
            </w:r>
          </w:p>
        </w:tc>
      </w:tr>
      <w:tr>
        <w:tc>
          <w:tcPr>
            <w:tcW w:type="dxa" w:w="1728"/>
          </w:tcPr>
          <w:p>
            <w:r>
              <w:t>Соответствие масштабу проекта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Состав ролей соответствует небольшой команде и операторам; замечание про внешний надзор снято по договоренности.</w:t>
            </w:r>
          </w:p>
        </w:tc>
      </w:tr>
    </w:tbl>
    <w:p/>
    <w:p>
      <w:pPr>
        <w:pStyle w:val="Heading1"/>
      </w:pPr>
      <w:r>
        <w:rPr/>
        <w:t>Блок регламенты</w:t>
      </w:r>
    </w:p>
    <w:p>
      <w:pPr/>
      <w:r>
        <w:rPr/>
        <w:t>Набрано баллов: 42 из 45.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 (макс. балл)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 (вес×балл)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Наличие регламентов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Регламенты заведены по выбранным процессам.</w:t>
            </w:r>
          </w:p>
        </w:tc>
      </w:tr>
      <w:tr>
        <w:tc>
          <w:tcPr>
            <w:tcW w:type="dxa" w:w="1728"/>
          </w:tcPr>
          <w:p>
            <w:r>
              <w:t>Соответствие регламентов процессам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Содержание соответствует заявленным процессам.</w:t>
            </w:r>
          </w:p>
        </w:tc>
      </w:tr>
      <w:tr>
        <w:tc>
          <w:tcPr>
            <w:tcW w:type="dxa" w:w="1728"/>
          </w:tcPr>
          <w:p>
            <w:r>
              <w:t>Структурированность перечня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Перечень читаемый и логичный.</w:t>
            </w:r>
          </w:p>
        </w:tc>
      </w:tr>
      <w:tr>
        <w:tc>
          <w:tcPr>
            <w:tcW w:type="dxa" w:w="1728"/>
          </w:tcPr>
          <w:p>
            <w:r>
              <w:t>Формулировка цели регламента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Цели указаны.</w:t>
            </w:r>
          </w:p>
        </w:tc>
      </w:tr>
      <w:tr>
        <w:tc>
          <w:tcPr>
            <w:tcW w:type="dxa" w:w="1728"/>
          </w:tcPr>
          <w:p>
            <w:r>
              <w:t>Область применения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Области заданы.</w:t>
            </w:r>
          </w:p>
        </w:tc>
      </w:tr>
      <w:tr>
        <w:tc>
          <w:tcPr>
            <w:tcW w:type="dxa" w:w="1728"/>
          </w:tcPr>
          <w:p>
            <w:r>
              <w:t>Описание ценности регламента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Ценность сформулирована.</w:t>
            </w:r>
          </w:p>
        </w:tc>
      </w:tr>
      <w:tr>
        <w:tc>
          <w:tcPr>
            <w:tcW w:type="dxa" w:w="1728"/>
          </w:tcPr>
          <w:p>
            <w:r>
              <w:t>Определение входов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Есть привязка к инструменту (Битрикс24) и спорные входы (заявка как вход при создании на шаге 1).</w:t>
            </w:r>
          </w:p>
        </w:tc>
      </w:tr>
      <w:tr>
        <w:tc>
          <w:tcPr>
            <w:tcW w:type="dxa" w:w="1728"/>
          </w:tcPr>
          <w:p>
            <w:r>
              <w:t>Определение выходов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Выходы в целом определены; местами можно конкретизировать артефакты закрытия.</w:t>
            </w:r>
          </w:p>
        </w:tc>
      </w:tr>
      <w:tr>
        <w:tc>
          <w:tcPr>
            <w:tcW w:type="dxa" w:w="1728"/>
          </w:tcPr>
          <w:p>
            <w:r>
              <w:t>Логика последовательности действий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В мониторинге первый шаг не относится к мониторингу; в Change нет явного шага тестирования перед внедрением.</w:t>
            </w:r>
          </w:p>
        </w:tc>
      </w:tr>
    </w:tbl>
    <w:p/>
    <w:p>
      <w:pPr>
        <w:pStyle w:val="Heading1"/>
      </w:pPr>
      <w:r>
        <w:rPr/>
        <w:t>Итог по заданию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Раздел</w:t>
            </w:r>
          </w:p>
        </w:tc>
        <w:tc>
          <w:tcPr>
            <w:tcW w:type="dxa" w:w="2880"/>
          </w:tcPr>
          <w:p>
            <w:r>
              <w:t>Макс.</w:t>
            </w:r>
          </w:p>
        </w:tc>
        <w:tc>
          <w:tcPr>
            <w:tcW w:type="dxa" w:w="2880"/>
          </w:tcPr>
          <w:p>
            <w:r>
              <w:t>Балл</w:t>
            </w:r>
          </w:p>
        </w:tc>
      </w:tr>
      <w:tr>
        <w:tc>
          <w:tcPr>
            <w:tcW w:type="dxa" w:w="2880"/>
          </w:tcPr>
          <w:p>
            <w:r>
              <w:t>ITIL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RACI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Регламенты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Всего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104</w:t>
            </w:r>
          </w:p>
        </w:tc>
      </w:tr>
    </w:tbl>
    <w:p/>
    <w:p>
      <w:pPr>
        <w:pStyle w:val="Heading1"/>
      </w:pPr>
      <w:r>
        <w:rPr/>
        <w:t>Сильные стороны</w:t>
      </w:r>
    </w:p>
    <w:p>
      <w:pPr>
        <w:pStyle w:val="ListBullet"/>
      </w:pPr>
      <w:r>
        <w:rPr/>
        <w:t xml:space="preserve">Связка </w:t>
      </w:r>
      <w:r>
        <w:rPr/>
        <w:t>Incident</w:t>
      </w:r>
      <w:r>
        <w:rPr/>
        <w:t xml:space="preserve"> → </w:t>
      </w:r>
      <w:r>
        <w:rPr/>
        <w:t>Problem</w:t>
      </w:r>
      <w:r>
        <w:rPr/>
        <w:t xml:space="preserve"> → </w:t>
      </w:r>
      <w:r>
        <w:rPr/>
        <w:t>Change</w:t>
      </w:r>
      <w:r>
        <w:rPr/>
        <w:t xml:space="preserve"> отражает зрелый процессный подход.</w:t>
      </w:r>
    </w:p>
    <w:p>
      <w:pPr>
        <w:pStyle w:val="ListBullet"/>
      </w:pPr>
      <w:r>
        <w:rPr/>
        <w:t xml:space="preserve">Полные </w:t>
      </w:r>
      <w:r>
        <w:rPr/>
        <w:t>RACI</w:t>
      </w:r>
      <w:r>
        <w:rPr/>
        <w:t>-матрицы без пропусков ключевых шагов.</w:t>
      </w:r>
    </w:p>
    <w:p>
      <w:pPr>
        <w:pStyle w:val="ListBullet"/>
      </w:pPr>
      <w:r>
        <w:rPr/>
        <w:t>Регламенты содержат полный набор полей (цель, область, ценность, входы, выходы, последовательность).</w:t>
      </w:r>
    </w:p>
    <w:p>
      <w:pPr>
        <w:pStyle w:val="ListBullet"/>
      </w:pPr>
      <w:r>
        <w:rPr/>
        <w:t>Change</w:t>
      </w:r>
      <w:r>
        <w:rPr/>
        <w:t xml:space="preserve"> </w:t>
      </w:r>
      <w:r>
        <w:rPr/>
        <w:t>Management</w:t>
      </w:r>
      <w:r>
        <w:rPr/>
        <w:t xml:space="preserve"> проработан сильнее остальных.</w:t>
      </w:r>
    </w:p>
    <w:p>
      <w:pPr>
        <w:pStyle w:val="ListBullet"/>
      </w:pPr>
      <w:r>
        <w:rPr/>
        <w:t>Конкретика инструментов мониторинга (</w:t>
      </w:r>
      <w:r>
        <w:rPr/>
        <w:t>Prometheus</w:t>
      </w:r>
      <w:r>
        <w:rPr/>
        <w:t xml:space="preserve">, </w:t>
      </w:r>
      <w:r>
        <w:rPr/>
        <w:t>Grafana</w:t>
      </w:r>
      <w:r>
        <w:rPr/>
        <w:t>, журналы 1С).</w:t>
      </w:r>
    </w:p>
    <w:p>
      <w:pPr>
        <w:pStyle w:val="Heading1"/>
      </w:pPr>
      <w:r>
        <w:rPr/>
        <w:t>Существенные замечания (остались)</w:t>
      </w:r>
    </w:p>
    <w:p>
      <w:pPr>
        <w:pStyle w:val="ListNumber"/>
      </w:pPr>
      <w:r>
        <w:rPr/>
        <w:t>Слабая аргументация, почему выбраны именно эти три процесса для надзорной системы.</w:t>
      </w:r>
    </w:p>
    <w:p>
      <w:pPr>
        <w:pStyle w:val="ListNumber"/>
      </w:pPr>
      <w:r>
        <w:rPr/>
        <w:t xml:space="preserve">Цель </w:t>
      </w:r>
      <w:r>
        <w:rPr/>
        <w:t>Incident</w:t>
      </w:r>
      <w:r>
        <w:rPr/>
        <w:t xml:space="preserve"> </w:t>
      </w:r>
      <w:r>
        <w:rPr/>
        <w:t>Management</w:t>
      </w:r>
      <w:r>
        <w:rPr/>
        <w:t xml:space="preserve"> должна покрывать всю платформу, а не один класс операций.</w:t>
      </w:r>
    </w:p>
    <w:p>
      <w:pPr>
        <w:pStyle w:val="ListNumber"/>
      </w:pPr>
      <w:r>
        <w:rPr/>
        <w:t xml:space="preserve">Нет явного </w:t>
      </w:r>
      <w:r>
        <w:rPr/>
        <w:t>Service</w:t>
      </w:r>
      <w:r>
        <w:rPr/>
        <w:t xml:space="preserve"> </w:t>
      </w:r>
      <w:r>
        <w:rPr/>
        <w:t>Level</w:t>
      </w:r>
      <w:r>
        <w:rPr/>
        <w:t xml:space="preserve"> </w:t>
      </w:r>
      <w:r>
        <w:rPr/>
        <w:t>Management</w:t>
      </w:r>
      <w:r>
        <w:rPr/>
        <w:t xml:space="preserve"> для контроля </w:t>
      </w:r>
      <w:r>
        <w:rPr/>
        <w:t>SLA</w:t>
      </w:r>
      <w:r>
        <w:rPr/>
        <w:t xml:space="preserve"> из задания 1.</w:t>
      </w:r>
    </w:p>
    <w:p>
      <w:pPr>
        <w:pStyle w:val="ListNumber"/>
      </w:pPr>
      <w:r>
        <w:rPr/>
        <w:t>Problem</w:t>
      </w:r>
      <w:r>
        <w:rPr/>
        <w:t xml:space="preserve"> </w:t>
      </w:r>
      <w:r>
        <w:rPr/>
        <w:t>Management</w:t>
      </w:r>
      <w:r>
        <w:rPr/>
        <w:t xml:space="preserve"> в регламенте недостаточно покрывает полный цикл (</w:t>
      </w:r>
      <w:r>
        <w:rPr/>
        <w:t>RCA</w:t>
      </w:r>
      <w:r>
        <w:rPr/>
        <w:t xml:space="preserve">, </w:t>
      </w:r>
      <w:r>
        <w:rPr/>
        <w:t>known</w:t>
      </w:r>
      <w:r>
        <w:rPr/>
        <w:t xml:space="preserve"> </w:t>
      </w:r>
      <w:r>
        <w:rPr/>
        <w:t>error</w:t>
      </w:r>
      <w:r>
        <w:rPr/>
        <w:t>, закрытие).</w:t>
      </w:r>
    </w:p>
    <w:p>
      <w:pPr>
        <w:pStyle w:val="ListNumber"/>
      </w:pPr>
      <w:r>
        <w:rPr/>
        <w:t>Логические шероховатости входов и последовательности шагов в отдельных регламентах.</w:t>
      </w:r>
    </w:p>
    <w:p>
      <w:pPr>
        <w:pStyle w:val="Heading1"/>
      </w:pPr>
      <w:r>
        <w:rPr/>
        <w:t>Рекомендации</w:t>
      </w:r>
    </w:p>
    <w:p>
      <w:pPr>
        <w:pStyle w:val="ListBullet"/>
      </w:pPr>
      <w:r>
        <w:rPr/>
        <w:t>P</w:t>
      </w:r>
      <w:r>
        <w:rPr/>
        <w:t>0: добавить явную аргументацию выбора процессов через риски и компоненты системы.</w:t>
      </w:r>
    </w:p>
    <w:p>
      <w:pPr>
        <w:pStyle w:val="ListBullet"/>
      </w:pPr>
      <w:r>
        <w:rPr/>
        <w:t>P</w:t>
      </w:r>
      <w:r>
        <w:rPr/>
        <w:t xml:space="preserve">0: расширить цель </w:t>
      </w:r>
      <w:r>
        <w:rPr/>
        <w:t>Incident</w:t>
      </w:r>
      <w:r>
        <w:rPr/>
        <w:t xml:space="preserve"> </w:t>
      </w:r>
      <w:r>
        <w:rPr/>
        <w:t>Management</w:t>
      </w:r>
      <w:r>
        <w:rPr/>
        <w:t xml:space="preserve"> на все критичные модули.</w:t>
      </w:r>
    </w:p>
    <w:p>
      <w:pPr>
        <w:pStyle w:val="ListBullet"/>
      </w:pPr>
      <w:r>
        <w:rPr/>
        <w:t>P</w:t>
      </w:r>
      <w:r>
        <w:rPr/>
        <w:t xml:space="preserve">1: добавить </w:t>
      </w:r>
      <w:r>
        <w:rPr/>
        <w:t>SLM</w:t>
      </w:r>
      <w:r>
        <w:rPr/>
        <w:t xml:space="preserve"> или явный подпроцесс контроля </w:t>
      </w:r>
      <w:r>
        <w:rPr/>
        <w:t>SLA</w:t>
      </w:r>
      <w:r>
        <w:rPr/>
        <w:t>.</w:t>
      </w:r>
    </w:p>
    <w:p>
      <w:pPr>
        <w:pStyle w:val="ListBullet"/>
      </w:pPr>
      <w:r>
        <w:rPr/>
        <w:t>P</w:t>
      </w:r>
      <w:r>
        <w:rPr/>
        <w:t xml:space="preserve">1: дописать </w:t>
      </w:r>
      <w:r>
        <w:rPr/>
        <w:t>Problem</w:t>
      </w:r>
      <w:r>
        <w:rPr/>
        <w:t xml:space="preserve"> </w:t>
      </w:r>
      <w:r>
        <w:rPr/>
        <w:t>Management</w:t>
      </w:r>
      <w:r>
        <w:rPr/>
        <w:t xml:space="preserve"> до полного цикла; добавить тестирование в </w:t>
      </w:r>
      <w:r>
        <w:rPr/>
        <w:t>Change</w:t>
      </w:r>
      <w:r>
        <w:rPr/>
        <w:t xml:space="preserve"> перед продом.</w:t>
      </w:r>
    </w:p>
    <w:p>
      <w:pPr>
        <w:pStyle w:val="ListBullet"/>
      </w:pPr>
      <w:r>
        <w:rPr/>
        <w:t>P</w:t>
      </w:r>
      <w:r>
        <w:rPr/>
        <w:t>1: убрать избыточную привязку регламентов к конкретному таск-трекеру там, где это не суть процесса.</w:t>
      </w:r>
    </w:p>
    <w:p>
      <w:pPr>
        <w:pStyle w:val="Heading1"/>
      </w:pPr>
      <w:r>
        <w:rPr/>
        <w:t>Потенциал</w:t>
      </w:r>
    </w:p>
    <w:p>
      <w:pPr/>
      <w:r>
        <w:rPr/>
        <w:t xml:space="preserve">При закрытии </w:t>
      </w:r>
      <w:r>
        <w:rPr/>
        <w:t>P</w:t>
      </w:r>
      <w:r>
        <w:rPr/>
        <w:t xml:space="preserve">0 — около 110/117. </w:t>
      </w:r>
      <w:r>
        <w:rPr/>
        <w:t>При P0+P1 — 114–116/117.</w:t>
      </w:r>
    </w:p>
    <w:p>
      <w:pPr>
        <w:pStyle w:val="Heading1"/>
      </w:pPr>
      <w:r>
        <w:rPr/>
        <w:t>Карта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Низкое влияние</w:t>
            </w:r>
          </w:p>
        </w:tc>
        <w:tc>
          <w:tcPr>
            <w:tcW w:type="dxa" w:w="2160"/>
          </w:tcPr>
          <w:p>
            <w:r>
              <w:t>Среднее влияние</w:t>
            </w:r>
          </w:p>
        </w:tc>
        <w:tc>
          <w:tcPr>
            <w:tcW w:type="dxa" w:w="2160"/>
          </w:tcPr>
          <w:p>
            <w:r>
              <w:t>Высокое влияние</w:t>
            </w:r>
          </w:p>
        </w:tc>
      </w:tr>
      <w:tr>
        <w:tc>
          <w:tcPr>
            <w:tcW w:type="dxa" w:w="2160"/>
          </w:tcPr>
          <w:p>
            <w:r>
              <w:t>Высокая вероятность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SLM для SLA</w:t>
            </w:r>
          </w:p>
        </w:tc>
        <w:tc>
          <w:tcPr>
            <w:tcW w:type="dxa" w:w="2160"/>
          </w:tcPr>
          <w:p>
            <w:r>
              <w:t>Слабая аргументация выбора процессов</w:t>
            </w:r>
          </w:p>
        </w:tc>
      </w:tr>
      <w:tr>
        <w:tc>
          <w:tcPr>
            <w:tcW w:type="dxa" w:w="2160"/>
          </w:tcPr>
          <w:p>
            <w:r>
              <w:t>Средняя вероятность</w:t>
            </w:r>
          </w:p>
        </w:tc>
        <w:tc>
          <w:tcPr>
            <w:tcW w:type="dxa" w:w="2160"/>
          </w:tcPr>
          <w:p>
            <w:r>
              <w:t>Привязка к Битрикс24</w:t>
            </w:r>
          </w:p>
        </w:tc>
        <w:tc>
          <w:tcPr>
            <w:tcW w:type="dxa" w:w="2160"/>
          </w:tcPr>
          <w:p>
            <w:r>
              <w:t>Узкая цель Incident</w:t>
            </w:r>
          </w:p>
        </w:tc>
        <w:tc>
          <w:tcPr>
            <w:tcW w:type="dxa" w:w="2160"/>
          </w:tcPr>
          <w:p>
            <w:r>
              <w:t>Неполный Problem в регламентах</w:t>
            </w:r>
          </w:p>
        </w:tc>
      </w:tr>
      <w:tr>
        <w:tc>
          <w:tcPr>
            <w:tcW w:type="dxa" w:w="2160"/>
          </w:tcPr>
          <w:p>
            <w:r>
              <w:t>Низкая вероятность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Спорные входы регламентов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Задание 3 - финальный скоринг</w:t>
      </w:r>
    </w:p>
    <w:p>
      <w:pPr/>
      <w:r>
        <w:rPr>
          <w:b/>
          <w:sz w:val="28"/>
        </w:rPr>
        <w:t>Задание 3. Финальный скоринг (метрики, дашборд, алерты)</w:t>
      </w:r>
    </w:p>
    <w:p>
      <w:pPr/>
      <w:r>
        <w:rPr/>
        <w:t>Проект партнера: система надзора за городским пассажирским транспортом на базе 1С.</w:t>
      </w:r>
    </w:p>
    <w:p>
      <w:pPr/>
      <w:r>
        <w:rPr/>
        <w:t>Итоговая оценка: 82 из 104. Категория: хорошо.</w:t>
      </w:r>
    </w:p>
    <w:p>
      <w:pPr>
        <w:pStyle w:val="Heading1"/>
      </w:pPr>
      <w:r>
        <w:rPr/>
        <w:t>Блок 1. Ключевые метрики</w:t>
      </w:r>
    </w:p>
    <w:p>
      <w:pPr/>
      <w:r>
        <w:rPr/>
        <w:t>22 из 28.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Выбор метрик (привязка к бизнесу)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Набор из четырех метрик узковат для транспортной системы; нет явной метрики по интеграции ГЛОНАСС/latency из SLA.</w:t>
            </w:r>
          </w:p>
        </w:tc>
      </w:tr>
      <w:tr>
        <w:tc>
          <w:tcPr>
            <w:tcW w:type="dxa" w:w="1728"/>
          </w:tcPr>
          <w:p>
            <w:r>
              <w:t>Описание метрик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Метрика «пользователи без потери производительности» не раскрывает измерение самой производительности.</w:t>
            </w:r>
          </w:p>
        </w:tc>
      </w:tr>
      <w:tr>
        <w:tc>
          <w:tcPr>
            <w:tcW w:type="dxa" w:w="1728"/>
          </w:tcPr>
          <w:p>
            <w:r>
              <w:t>Ценность метрик для бизнеса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Ценность для MTBF, экономии времени и жалоб прослеживается.</w:t>
            </w:r>
          </w:p>
        </w:tc>
      </w:tr>
      <w:tr>
        <w:tc>
          <w:tcPr>
            <w:tcW w:type="dxa" w:w="1728"/>
          </w:tcPr>
          <w:p>
            <w:r>
              <w:t>Разделение на группы (тех / процесс / бизнес)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Группы указаны явно — сильная сторона.</w:t>
            </w:r>
          </w:p>
        </w:tc>
      </w:tr>
    </w:tbl>
    <w:p/>
    <w:p>
      <w:pPr>
        <w:pStyle w:val="Heading1"/>
      </w:pPr>
      <w:r>
        <w:rPr/>
        <w:t>Блок 2. Методика измерения</w:t>
      </w:r>
    </w:p>
    <w:p>
      <w:pPr/>
      <w:r>
        <w:rPr/>
        <w:t>20 из 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Источники данных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Источники в целом указаны (журналы, регистры, опросы).</w:t>
            </w:r>
          </w:p>
        </w:tc>
      </w:tr>
      <w:tr>
        <w:tc>
          <w:tcPr>
            <w:tcW w:type="dxa" w:w="1728"/>
          </w:tcPr>
          <w:p>
            <w:r>
              <w:t>Формула / способ расчёта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Формулы есть для части метрик; по отдельным метрикам возможна некорректность или неполная согласованность с порогами.</w:t>
            </w:r>
          </w:p>
        </w:tc>
      </w:tr>
      <w:tr>
        <w:tc>
          <w:tcPr>
            <w:tcW w:type="dxa" w:w="1728"/>
          </w:tcPr>
          <w:p>
            <w:r>
              <w:t>Периодичность измерения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Периодичность указана; есть риск несогласованности горизонта нормы и частоты отчета/алерта (например, MTBF).</w:t>
            </w:r>
          </w:p>
        </w:tc>
      </w:tr>
    </w:tbl>
    <w:p/>
    <w:p>
      <w:pPr>
        <w:pStyle w:val="Heading1"/>
      </w:pPr>
      <w:r>
        <w:rPr/>
        <w:t>Блок 3. Дашборд</w:t>
      </w:r>
    </w:p>
    <w:p>
      <w:pPr/>
      <w:r>
        <w:rPr/>
        <w:t>16 из 20.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Структура и группировка виджетов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Схема дашборда есть, группировка понятна.</w:t>
            </w:r>
          </w:p>
        </w:tc>
      </w:tr>
      <w:tr>
        <w:tc>
          <w:tcPr>
            <w:tcW w:type="dxa" w:w="1728"/>
          </w:tcPr>
          <w:p>
            <w:r>
              <w:t>Соответствие метрикам и аудитории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Один дашборд на две аудитории (техника и менеджмент) без разделения уровня детализации.</w:t>
            </w:r>
          </w:p>
        </w:tc>
      </w:tr>
      <w:tr>
        <w:tc>
          <w:tcPr>
            <w:tcW w:type="dxa" w:w="1728"/>
          </w:tcPr>
          <w:p>
            <w:r>
              <w:t>Виджеты и визуализации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Набор виджетов адекватен описанию.</w:t>
            </w:r>
          </w:p>
        </w:tc>
      </w:tr>
    </w:tbl>
    <w:p/>
    <w:p>
      <w:pPr>
        <w:pStyle w:val="Heading1"/>
      </w:pPr>
      <w:r>
        <w:rPr/>
        <w:t>Блок 4. Пороги и алерты</w:t>
      </w:r>
    </w:p>
    <w:p>
      <w:pPr/>
      <w:r>
        <w:rPr/>
        <w:t>24 из 32.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Наличие трёх уровней порогов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Норма / предупреждение / критический уровень заданы.</w:t>
            </w:r>
          </w:p>
        </w:tc>
      </w:tr>
      <w:tr>
        <w:tc>
          <w:tcPr>
            <w:tcW w:type="dxa" w:w="1728"/>
          </w:tcPr>
          <w:p>
            <w:r>
              <w:t>Корректность порогов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Часть порогов методологически слабая (например, счетчик пользователей как proxy производительности; разрывы диапазонов).</w:t>
            </w:r>
          </w:p>
        </w:tc>
      </w:tr>
      <w:tr>
        <w:tc>
          <w:tcPr>
            <w:tcW w:type="dxa" w:w="1728"/>
          </w:tcPr>
          <w:p>
            <w:r>
              <w:t>Описание алерта (канал, получатель)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Получатели иногда указаны; в основном это отчеты Excel/Word вместо немедленного оповещения и маршрутизации.</w:t>
            </w:r>
          </w:p>
        </w:tc>
      </w:tr>
      <w:tr>
        <w:tc>
          <w:tcPr>
            <w:tcW w:type="dxa" w:w="1728"/>
          </w:tcPr>
          <w:p>
            <w:r>
              <w:t>Ценность алертов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Ценность местами смешана с обоснованием периодичности отчетности, а не снижением MTTR/рисков.</w:t>
            </w:r>
          </w:p>
        </w:tc>
      </w:tr>
    </w:tbl>
    <w:p/>
    <w:p>
      <w:pPr>
        <w:pStyle w:val="Heading1"/>
      </w:pPr>
      <w:r>
        <w:rPr/>
        <w:t>Итог по заданию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Раздел</w:t>
            </w:r>
          </w:p>
        </w:tc>
        <w:tc>
          <w:tcPr>
            <w:tcW w:type="dxa" w:w="2880"/>
          </w:tcPr>
          <w:p>
            <w:r>
              <w:t>Макс.</w:t>
            </w:r>
          </w:p>
        </w:tc>
        <w:tc>
          <w:tcPr>
            <w:tcW w:type="dxa" w:w="2880"/>
          </w:tcPr>
          <w:p>
            <w:r>
              <w:t>Балл</w:t>
            </w:r>
          </w:p>
        </w:tc>
      </w:tr>
      <w:tr>
        <w:tc>
          <w:tcPr>
            <w:tcW w:type="dxa" w:w="2880"/>
          </w:tcPr>
          <w:p>
            <w:r>
              <w:t>Ключевые метрики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Методика измерения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Дашборд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Пороги и алерты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Всего</w:t>
            </w:r>
          </w:p>
        </w:tc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</w:tbl>
    <w:p/>
    <w:p>
      <w:pPr>
        <w:pStyle w:val="Heading1"/>
      </w:pPr>
      <w:r>
        <w:rPr/>
        <w:t>Сильные стороны</w:t>
      </w:r>
    </w:p>
    <w:p>
      <w:pPr>
        <w:pStyle w:val="ListBullet"/>
      </w:pPr>
      <w:r>
        <w:rPr/>
        <w:t>Явное разделение метрик на технические, процессные и бизнес-метрики.</w:t>
      </w:r>
    </w:p>
    <w:p>
      <w:pPr>
        <w:pStyle w:val="ListBullet"/>
      </w:pPr>
      <w:r>
        <w:rPr/>
        <w:t>MTBF как показатель стабильности для 1С.</w:t>
      </w:r>
    </w:p>
    <w:p>
      <w:pPr>
        <w:pStyle w:val="ListBullet"/>
      </w:pPr>
      <w:r>
        <w:rPr/>
        <w:t>Формула экономии времени с опорой на регистры.</w:t>
      </w:r>
    </w:p>
    <w:p>
      <w:pPr>
        <w:pStyle w:val="ListBullet"/>
      </w:pPr>
      <w:r>
        <w:rPr/>
        <w:t>Схема дашборда и блок алертов.</w:t>
      </w:r>
    </w:p>
    <w:p>
      <w:pPr>
        <w:pStyle w:val="Heading1"/>
      </w:pPr>
      <w:r>
        <w:rPr/>
        <w:t>Существенные замечания</w:t>
      </w:r>
    </w:p>
    <w:p>
      <w:pPr>
        <w:pStyle w:val="ListNumber"/>
      </w:pPr>
      <w:r>
        <w:rPr/>
        <w:t>Метрика одновременных пользователей не измеряет производительность.</w:t>
      </w:r>
    </w:p>
    <w:p>
      <w:pPr>
        <w:pStyle w:val="ListNumber"/>
      </w:pPr>
      <w:r>
        <w:rPr/>
        <w:t>Алерты в основном оформлены как периодические отчеты, а не немедленные сигналы.</w:t>
      </w:r>
    </w:p>
    <w:p>
      <w:pPr>
        <w:pStyle w:val="ListNumber"/>
      </w:pPr>
      <w:r>
        <w:rPr/>
        <w:t>Слабая маршрутизация: роль, канал, runbook, время реакции.</w:t>
      </w:r>
    </w:p>
    <w:p>
      <w:pPr>
        <w:pStyle w:val="ListNumber"/>
      </w:pPr>
      <w:r>
        <w:rPr/>
        <w:t>Пороги без опоры на baseline или SLA.</w:t>
      </w:r>
    </w:p>
    <w:p>
      <w:pPr>
        <w:pStyle w:val="ListNumber"/>
      </w:pPr>
      <w:r>
        <w:rPr/>
        <w:t>Недостаточно инфраструктурных и интеграционных метрик (ГЛОНАСС, ошибки синхронизации, latency БД).</w:t>
      </w:r>
    </w:p>
    <w:p>
      <w:pPr>
        <w:pStyle w:val="Heading1"/>
      </w:pPr>
      <w:r>
        <w:rPr/>
        <w:t>Рекомендации</w:t>
      </w:r>
    </w:p>
    <w:p>
      <w:pPr>
        <w:pStyle w:val="ListBullet"/>
      </w:pPr>
      <w:r>
        <w:rPr/>
        <w:t>P0: заменить метрику нагрузки на latency/throughput при заданном N пользователей.</w:t>
      </w:r>
    </w:p>
    <w:p>
      <w:pPr>
        <w:pStyle w:val="ListBullet"/>
      </w:pPr>
      <w:r>
        <w:rPr/>
        <w:t>P0: ввести реактивные алерты (мессенджер, on-call) при нарушении SLO.</w:t>
      </w:r>
    </w:p>
    <w:p>
      <w:pPr>
        <w:pStyle w:val="ListBullet"/>
      </w:pPr>
      <w:r>
        <w:rPr/>
        <w:t>P0: для каждого алерта — владелец, канал, эскалация, краткий runbook.</w:t>
      </w:r>
    </w:p>
    <w:p>
      <w:pPr>
        <w:pStyle w:val="ListBullet"/>
      </w:pPr>
      <w:r>
        <w:rPr/>
        <w:t>P1: добавить метрики потока данных ГЛОНАСС и качества синхронизации.</w:t>
      </w:r>
    </w:p>
    <w:p>
      <w:pPr>
        <w:pStyle w:val="ListBullet"/>
      </w:pPr>
      <w:r>
        <w:rPr/>
        <w:t>P1: разделить дашборды для операционной и управленческой аудитории.</w:t>
      </w:r>
    </w:p>
    <w:p>
      <w:pPr>
        <w:pStyle w:val="Heading1"/>
      </w:pPr>
      <w:r>
        <w:rPr/>
        <w:t>Потенциал</w:t>
      </w:r>
    </w:p>
    <w:p>
      <w:pPr/>
      <w:r>
        <w:rPr/>
        <w:t>После P0 — около 90/104. После P0+P1 — 94–96/104.</w:t>
      </w:r>
    </w:p>
    <w:p>
      <w:pPr>
        <w:pStyle w:val="Heading1"/>
      </w:pPr>
      <w:r>
        <w:rPr/>
        <w:t>Карта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Низкое влияние</w:t>
            </w:r>
          </w:p>
        </w:tc>
        <w:tc>
          <w:tcPr>
            <w:tcW w:type="dxa" w:w="2160"/>
          </w:tcPr>
          <w:p>
            <w:r>
              <w:t>Среднее влияние</w:t>
            </w:r>
          </w:p>
        </w:tc>
        <w:tc>
          <w:tcPr>
            <w:tcW w:type="dxa" w:w="2160"/>
          </w:tcPr>
          <w:p>
            <w:r>
              <w:t>Высокое влияние</w:t>
            </w:r>
          </w:p>
        </w:tc>
      </w:tr>
      <w:tr>
        <w:tc>
          <w:tcPr>
            <w:tcW w:type="dxa" w:w="2160"/>
          </w:tcPr>
          <w:p>
            <w:r>
              <w:t>Высокая вероятность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Отчеты вместо алертов</w:t>
            </w:r>
          </w:p>
        </w:tc>
        <w:tc>
          <w:tcPr>
            <w:tcW w:type="dxa" w:w="2160"/>
          </w:tcPr>
          <w:p>
            <w:r>
              <w:t>Неверная метрика «производительности»</w:t>
            </w:r>
          </w:p>
        </w:tc>
      </w:tr>
      <w:tr>
        <w:tc>
          <w:tcPr>
            <w:tcW w:type="dxa" w:w="2160"/>
          </w:tcPr>
          <w:p>
            <w:r>
              <w:t>Средняя вероятность</w:t>
            </w:r>
          </w:p>
        </w:tc>
        <w:tc>
          <w:tcPr>
            <w:tcW w:type="dxa" w:w="2160"/>
          </w:tcPr>
          <w:p>
            <w:r>
              <w:t>Единый дашборд для всех</w:t>
            </w:r>
          </w:p>
        </w:tc>
        <w:tc>
          <w:tcPr>
            <w:tcW w:type="dxa" w:w="2160"/>
          </w:tcPr>
          <w:p>
            <w:r>
              <w:t>Пороги без baseline</w:t>
            </w:r>
          </w:p>
        </w:tc>
        <w:tc>
          <w:tcPr>
            <w:tcW w:type="dxa" w:w="2160"/>
          </w:tcPr>
          <w:p>
            <w:r>
              <w:t>Нет ключевых метрик интеграции</w:t>
            </w:r>
          </w:p>
        </w:tc>
      </w:tr>
      <w:tr>
        <w:tc>
          <w:tcPr>
            <w:tcW w:type="dxa" w:w="2160"/>
          </w:tcPr>
          <w:p>
            <w:r>
              <w:t>Низкая вероятность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MTBF без MTTR</w:t>
            </w:r>
          </w:p>
        </w:tc>
        <w:tc>
          <w:tcPr>
            <w:tcW w:type="dxa" w:w="2160"/>
          </w:tcPr>
          <w:p>
            <w:r>
              <w:t>Нет runbook на critical</w:t>
            </w:r>
          </w:p>
        </w:tc>
      </w:tr>
    </w:tbl>
    <w:p/>
    <w:p>
      <w:r>
        <w:br w:type="page"/>
      </w:r>
    </w:p>
    <w:p>
      <w:pPr>
        <w:pStyle w:val="Heading1"/>
      </w:pPr>
      <w:r>
        <w:t>Задание 4 - финальный скоринг</w:t>
      </w:r>
    </w:p>
    <w:p>
      <w:pPr/>
      <w:r>
        <w:rPr>
          <w:b/>
          <w:sz w:val="28"/>
        </w:rPr>
        <w:t>Задание 4. Финальный скоринг (TCO, ROI, альтернативы)</w:t>
      </w:r>
    </w:p>
    <w:p>
      <w:pPr/>
      <w:r>
        <w:rPr/>
        <w:t>Проект партнера: система надзора за городским пассажирским транспортом на базе 1С.</w:t>
      </w:r>
    </w:p>
    <w:p>
      <w:pPr/>
      <w:r>
        <w:rPr/>
        <w:t>Итоговая оценка: 114 из 120. Категория: отлично.</w:t>
      </w:r>
    </w:p>
    <w:p>
      <w:pPr/>
      <w:r>
        <w:rPr/>
        <w:t>По диалогу сняты: критика расчета экономии ФОТ в логике «нет увольнения — нет денег» (субсидируемая модель, эффект через высвобождение времени); требование in-house разработки (нет штатных программистов); требование отдельной альтернативы SaaS (нет подходящего узкого SaaS). Баллы по прямым выгодам скорректированы вверх; часть рисков перенесена в TCO и альтернативы.</w:t>
      </w:r>
    </w:p>
    <w:p>
      <w:pPr>
        <w:pStyle w:val="Heading1"/>
      </w:pPr>
      <w:r>
        <w:rPr/>
        <w:t>Блок 1. Бизнес-контекст и IT-инициатива</w:t>
      </w:r>
    </w:p>
    <w:p>
      <w:pPr/>
      <w:r>
        <w:rPr/>
        <w:t>24 из 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Описание бизнес-проблемы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Проблема измерима, причинно-следственные связи ясны.</w:t>
            </w:r>
          </w:p>
        </w:tc>
      </w:tr>
      <w:tr>
        <w:tc>
          <w:tcPr>
            <w:tcW w:type="dxa" w:w="1728"/>
          </w:tcPr>
          <w:p>
            <w:r>
              <w:t>Формулировка бизнес-целей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Цели с метриками и управленческими решениями.</w:t>
            </w:r>
          </w:p>
        </w:tc>
      </w:tr>
      <w:tr>
        <w:tc>
          <w:tcPr>
            <w:tcW w:type="dxa" w:w="1728"/>
          </w:tcPr>
          <w:p>
            <w:r>
              <w:t>Описание IT-инициативы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Процессы «как сейчас → как будет», роли, гипотезы в нужном формате.</w:t>
            </w:r>
          </w:p>
        </w:tc>
      </w:tr>
    </w:tbl>
    <w:p/>
    <w:p>
      <w:pPr>
        <w:pStyle w:val="Heading1"/>
      </w:pPr>
      <w:r>
        <w:rPr/>
        <w:t>Блок 2. TCO</w:t>
      </w:r>
    </w:p>
    <w:p>
      <w:pPr/>
      <w:r>
        <w:rPr/>
        <w:t>28 из 32 (снижение за неполноту статей CAPEX/OPEX по внедрению).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Полнота единовременных затрат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Нет отдельных строк на тестирование/приемку, миграцию данных, СЗИ/DR как единовременные при необходимости.</w:t>
            </w:r>
          </w:p>
        </w:tc>
      </w:tr>
      <w:tr>
        <w:tc>
          <w:tcPr>
            <w:tcW w:type="dxa" w:w="1728"/>
          </w:tcPr>
          <w:p>
            <w:r>
              <w:t>Полнота операционных затрат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Операционные статьи покрыты в целом хорошо.</w:t>
            </w:r>
          </w:p>
        </w:tc>
      </w:tr>
      <w:tr>
        <w:tc>
          <w:tcPr>
            <w:tcW w:type="dxa" w:w="1728"/>
          </w:tcPr>
          <w:p>
            <w:r>
              <w:t>Источники и логика расчёта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Логика расчета прозрачна; часть ставок все еще требует ссылки на рынок.</w:t>
            </w:r>
          </w:p>
        </w:tc>
      </w:tr>
      <w:tr>
        <w:tc>
          <w:tcPr>
            <w:tcW w:type="dxa" w:w="1728"/>
          </w:tcPr>
          <w:p>
            <w:r>
              <w:t>Горизонт расчёта 3 года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Горизонт выдержан, таблица по годам есть.</w:t>
            </w:r>
          </w:p>
        </w:tc>
      </w:tr>
      <w:tr>
        <w:tc>
          <w:tcPr>
            <w:tcW w:type="dxa" w:w="1728"/>
          </w:tcPr>
          <w:p>
            <w:r>
              <w:t>Корректность сводного TCO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Арифметика согласована с представленными строками.</w:t>
            </w:r>
          </w:p>
        </w:tc>
      </w:tr>
    </w:tbl>
    <w:p/>
    <w:p>
      <w:pPr>
        <w:pStyle w:val="Heading1"/>
      </w:pPr>
      <w:r>
        <w:rPr/>
        <w:t>Блок 3. Выгоды (Benefits)</w:t>
      </w:r>
    </w:p>
    <w:p>
      <w:pPr/>
      <w:r>
        <w:rPr/>
        <w:t>24 из 24 (после снятия замечания по ФОТ прямые выгоды по времени/деньгам оцениваются без штрафа по логике увольнения).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Прямые выгоды: экономия / высвобождение времени (ФОТ-логика)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После диалога: расчет принят как оценка высвобожденного ресурса при субсидируемой модели; структура расчета детальная.</w:t>
            </w:r>
          </w:p>
        </w:tc>
      </w:tr>
      <w:tr>
        <w:tc>
          <w:tcPr>
            <w:tcW w:type="dxa" w:w="1728"/>
          </w:tcPr>
          <w:p>
            <w:r>
              <w:t>Прямые выгоды: снижение ошибок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Расчет корректен по форме; остается только риск несогласованности исходных объемов с другими разделами (см. замечания).</w:t>
            </w:r>
          </w:p>
        </w:tc>
      </w:tr>
      <w:tr>
        <w:tc>
          <w:tcPr>
            <w:tcW w:type="dxa" w:w="1728"/>
          </w:tcPr>
          <w:p>
            <w:r>
              <w:t>Косвенные выгоды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Косвенные выгоды описаны с методикой и связью с метриками; мелкие вопросы к базовым допущениям не снижают блок после диалога.</w:t>
            </w:r>
          </w:p>
        </w:tc>
      </w:tr>
    </w:tbl>
    <w:p/>
    <w:p>
      <w:pPr>
        <w:pStyle w:val="Heading1"/>
      </w:pPr>
      <w:r>
        <w:rPr/>
        <w:t>Блок 4. ROI и срок окупаемости</w:t>
      </w:r>
    </w:p>
    <w:p>
      <w:pPr/>
      <w:r>
        <w:rPr/>
        <w:t>20 из 20.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Формулы и расчёты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Формулы ROI и окупаемости показаны, расчеты прозрачны.</w:t>
            </w:r>
          </w:p>
        </w:tc>
      </w:tr>
      <w:tr>
        <w:tc>
          <w:tcPr>
            <w:tcW w:type="dxa" w:w="1728"/>
          </w:tcPr>
          <w:p>
            <w:r>
              <w:t>Динамика по годам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Динамика выгод и затрат по годам присутствует.</w:t>
            </w:r>
          </w:p>
        </w:tc>
      </w:tr>
      <w:tr>
        <w:tc>
          <w:tcPr>
            <w:tcW w:type="dxa" w:w="1728"/>
          </w:tcPr>
          <w:p>
            <w:r>
              <w:t>Анализ чувствительности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Sensitivity analysis присутствует, но охватывает только часть значимых драйверов (см. рекомендации).</w:t>
            </w:r>
          </w:p>
        </w:tc>
      </w:tr>
    </w:tbl>
    <w:p/>
    <w:p>
      <w:pPr>
        <w:pStyle w:val="Heading1"/>
      </w:pPr>
      <w:r>
        <w:rPr/>
        <w:t>Блок 5. Риски и допущения</w:t>
      </w:r>
    </w:p>
    <w:p>
      <w:pPr/>
      <w:r>
        <w:rPr/>
        <w:t>12 из 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Полнота допущений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Допущения перечислены и объясняют модель.</w:t>
            </w:r>
          </w:p>
        </w:tc>
      </w:tr>
      <w:tr>
        <w:tc>
          <w:tcPr>
            <w:tcW w:type="dxa" w:w="1728"/>
          </w:tcPr>
          <w:p>
            <w:r>
              <w:t>Полнота и реалистичность рисков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Риски с оценкой вероятности/влияния и мерами.</w:t>
            </w:r>
          </w:p>
        </w:tc>
      </w:tr>
    </w:tbl>
    <w:p/>
    <w:p>
      <w:pPr>
        <w:pStyle w:val="Heading1"/>
      </w:pPr>
      <w:r>
        <w:rPr/>
        <w:t>Блок 6. Альтернативы и финальное обоснование</w:t>
      </w:r>
    </w:p>
    <w:p>
      <w:pPr/>
      <w:r>
        <w:rPr/>
        <w:t>8 из 12 (in-house и SaaS не требуются по договоренности; остается укрупненность сравнения «купить готовое»).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Альтернатива «не внедрять»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Сравнение потерь и логика убедительны.</w:t>
            </w:r>
          </w:p>
        </w:tc>
      </w:tr>
      <w:tr>
        <w:tc>
          <w:tcPr>
            <w:tcW w:type="dxa" w:w="1728"/>
          </w:tcPr>
          <w:p>
            <w:r>
              <w:t>Альтернатива «купить готовое»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TCO-сравнение есть, но без названия конкретного продукта и без функциональной матрицы; после снятия SaaS/in-house фокус на этом недочете.</w:t>
            </w:r>
          </w:p>
        </w:tc>
      </w:tr>
    </w:tbl>
    <w:p/>
    <w:p>
      <w:pPr>
        <w:pStyle w:val="Heading1"/>
      </w:pPr>
      <w:r>
        <w:rPr/>
        <w:t>Итог по заданию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Раздел</w:t>
            </w:r>
          </w:p>
        </w:tc>
        <w:tc>
          <w:tcPr>
            <w:tcW w:type="dxa" w:w="2880"/>
          </w:tcPr>
          <w:p>
            <w:r>
              <w:t>Макс.</w:t>
            </w:r>
          </w:p>
        </w:tc>
        <w:tc>
          <w:tcPr>
            <w:tcW w:type="dxa" w:w="2880"/>
          </w:tcPr>
          <w:p>
            <w:r>
              <w:t>Балл</w:t>
            </w:r>
          </w:p>
        </w:tc>
      </w:tr>
      <w:tr>
        <w:tc>
          <w:tcPr>
            <w:tcW w:type="dxa" w:w="2880"/>
          </w:tcPr>
          <w:p>
            <w:r>
              <w:t>Бизнес-контекст и IT-инициатива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TCO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Выгоды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ROI и окупаемость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Риски и допущения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Альтернативы и обоснование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Всего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114</w:t>
            </w:r>
          </w:p>
        </w:tc>
      </w:tr>
    </w:tbl>
    <w:p/>
    <w:p>
      <w:pPr>
        <w:pStyle w:val="Heading1"/>
      </w:pPr>
      <w:r>
        <w:rPr/>
        <w:t>Сильные стороны</w:t>
      </w:r>
    </w:p>
    <w:p>
      <w:pPr>
        <w:pStyle w:val="ListBullet"/>
      </w:pPr>
      <w:r>
        <w:rPr/>
        <w:t>Сильный бизнес-контекст и измеримые цели.</w:t>
      </w:r>
    </w:p>
    <w:p>
      <w:pPr>
        <w:pStyle w:val="ListBullet"/>
      </w:pPr>
      <w:r>
        <w:rPr/>
        <w:t>Прозрачная структура TCO на 3 года.</w:t>
      </w:r>
    </w:p>
    <w:p>
      <w:pPr>
        <w:pStyle w:val="ListBullet"/>
      </w:pPr>
      <w:r>
        <w:rPr/>
        <w:t>Детализированная модель прямых выгод (время операторов, консервативные коэффициенты).</w:t>
      </w:r>
    </w:p>
    <w:p>
      <w:pPr>
        <w:pStyle w:val="ListBullet"/>
      </w:pPr>
      <w:r>
        <w:rPr/>
        <w:t>Корректный управленческий язык ROI и окупаемости.</w:t>
      </w:r>
    </w:p>
    <w:p>
      <w:pPr>
        <w:pStyle w:val="ListBullet"/>
      </w:pPr>
      <w:r>
        <w:rPr/>
        <w:t>Наличие чувствительности и рисков.</w:t>
      </w:r>
    </w:p>
    <w:p>
      <w:pPr>
        <w:pStyle w:val="Heading1"/>
      </w:pPr>
      <w:r>
        <w:rPr/>
        <w:t>Существенные замечания (остались)</w:t>
      </w:r>
    </w:p>
    <w:p>
      <w:pPr>
        <w:pStyle w:val="ListNumber"/>
      </w:pPr>
      <w:r>
        <w:rPr/>
        <w:t>Неполнота TCO по статьям внедрения: тестирование, приемка, миграция, СЗИ/DR при необходимости.</w:t>
      </w:r>
    </w:p>
    <w:p>
      <w:pPr>
        <w:pStyle w:val="ListNumber"/>
      </w:pPr>
      <w:r>
        <w:rPr/>
        <w:t>Противоречие или нестыковка в исходных объемах операций между разделами (акты vs документы).</w:t>
      </w:r>
    </w:p>
    <w:p>
      <w:pPr>
        <w:pStyle w:val="ListNumber"/>
      </w:pPr>
      <w:r>
        <w:rPr/>
        <w:t>Не везде есть ссылки на источники цен (ставка разработчика, стоимость готового решения).</w:t>
      </w:r>
    </w:p>
    <w:p>
      <w:pPr>
        <w:pStyle w:val="ListNumber"/>
      </w:pPr>
      <w:r>
        <w:rPr/>
        <w:t>Альтернатива «купить готовое» без конкретного продукта и функционального сравнения.</w:t>
      </w:r>
    </w:p>
    <w:p>
      <w:pPr>
        <w:pStyle w:val="Heading1"/>
      </w:pPr>
      <w:r>
        <w:rPr/>
        <w:t>Рекомендации</w:t>
      </w:r>
    </w:p>
    <w:p>
      <w:pPr>
        <w:pStyle w:val="ListBullet"/>
      </w:pPr>
      <w:r>
        <w:rPr/>
        <w:t>P0: синхронизировать исходные объемы операций во всех расчетах.</w:t>
      </w:r>
    </w:p>
    <w:p>
      <w:pPr>
        <w:pStyle w:val="ListBullet"/>
      </w:pPr>
      <w:r>
        <w:rPr/>
        <w:t>P1: добавить в TCO строки тестирования, приемки и миграции.</w:t>
      </w:r>
    </w:p>
    <w:p>
      <w:pPr>
        <w:pStyle w:val="ListBullet"/>
      </w:pPr>
      <w:r>
        <w:rPr/>
        <w:t>P1: указать источники цен или диапазоны по рынку региона.</w:t>
      </w:r>
    </w:p>
    <w:p>
      <w:pPr>
        <w:pStyle w:val="ListBullet"/>
      </w:pPr>
      <w:r>
        <w:rPr/>
        <w:t>P1: расширить sensitivity analysis (OPEX, лицензии, объем актов).</w:t>
      </w:r>
    </w:p>
    <w:p>
      <w:pPr>
        <w:pStyle w:val="ListBullet"/>
      </w:pPr>
      <w:r>
        <w:rPr/>
        <w:t>P2: таблица функционального сравнения с выбранным готовым продуктом.</w:t>
      </w:r>
    </w:p>
    <w:p>
      <w:pPr>
        <w:pStyle w:val="Heading1"/>
      </w:pPr>
      <w:r>
        <w:rPr/>
        <w:t>Потенциал</w:t>
      </w:r>
    </w:p>
    <w:p>
      <w:pPr/>
      <w:r>
        <w:rPr/>
        <w:t>После P0 — около 117/120. После P1+P2 — до 120/120.</w:t>
      </w:r>
    </w:p>
    <w:p>
      <w:pPr>
        <w:pStyle w:val="Heading1"/>
      </w:pPr>
      <w:r>
        <w:rPr/>
        <w:t>Карта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Низкое влияние</w:t>
            </w:r>
          </w:p>
        </w:tc>
        <w:tc>
          <w:tcPr>
            <w:tcW w:type="dxa" w:w="2160"/>
          </w:tcPr>
          <w:p>
            <w:r>
              <w:t>Среднее влияние</w:t>
            </w:r>
          </w:p>
        </w:tc>
        <w:tc>
          <w:tcPr>
            <w:tcW w:type="dxa" w:w="2160"/>
          </w:tcPr>
          <w:p>
            <w:r>
              <w:t>Высокое влияние</w:t>
            </w:r>
          </w:p>
        </w:tc>
      </w:tr>
      <w:tr>
        <w:tc>
          <w:tcPr>
            <w:tcW w:type="dxa" w:w="2160"/>
          </w:tcPr>
          <w:p>
            <w:r>
              <w:t>Высокая вероятность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источников цен</w:t>
            </w:r>
          </w:p>
        </w:tc>
        <w:tc>
          <w:tcPr>
            <w:tcW w:type="dxa" w:w="2160"/>
          </w:tcPr>
          <w:p>
            <w:r>
              <w:t>Нестыковка объемов операций</w:t>
            </w:r>
          </w:p>
        </w:tc>
      </w:tr>
      <w:tr>
        <w:tc>
          <w:tcPr>
            <w:tcW w:type="dxa" w:w="2160"/>
          </w:tcPr>
          <w:p>
            <w:r>
              <w:t>Средняя вероятность</w:t>
            </w:r>
          </w:p>
        </w:tc>
        <w:tc>
          <w:tcPr>
            <w:tcW w:type="dxa" w:w="2160"/>
          </w:tcPr>
          <w:p>
            <w:r>
              <w:t>Нет строки тестирования в CAPEX</w:t>
            </w:r>
          </w:p>
        </w:tc>
        <w:tc>
          <w:tcPr>
            <w:tcW w:type="dxa" w:w="2160"/>
          </w:tcPr>
          <w:p>
            <w:r>
              <w:t>Укрупненное «купить готовое»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Низкая вероятность</w:t>
            </w:r>
          </w:p>
        </w:tc>
        <w:tc>
          <w:tcPr>
            <w:tcW w:type="dxa" w:w="2160"/>
          </w:tcPr>
          <w:p>
            <w:r>
              <w:t>Нет отдельной миграции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Устойчивость к Black Swans и качество Recovery-протоколов</w:t>
      </w:r>
    </w:p>
    <w:p>
      <w:pPr/>
      <w:r>
        <w:rPr>
          <w:b/>
          <w:sz w:val="28"/>
        </w:rPr>
        <w:t>Устойчивость к Black Swans и качество Recovery-протоколов</w:t>
      </w:r>
    </w:p>
    <w:p>
      <w:pPr/>
      <w:r>
        <w:rPr/>
        <w:t>Проект партнёра: система надзора за городским пассажирским транспортом на базе 1С.</w:t>
      </w:r>
    </w:p>
    <w:p>
      <w:pPr/>
      <w:r>
        <w:rPr/>
        <w:t>Аудируемый: Шабунин Артём. Аудитор: Самородов Фёдор.</w:t>
      </w:r>
    </w:p>
    <w:p>
      <w:pPr>
        <w:pStyle w:val="Heading1"/>
      </w:pPr>
      <w:r>
        <w:rPr/>
        <w:t>1. Числовая оценка устойчивости</w:t>
      </w:r>
    </w:p>
    <w:p>
      <w:pPr/>
      <w:r>
        <w:rPr/>
        <w:t>Итоговая оценка устойчивости системы партнёра по шкале 1–10: 4 из 10.</w:t>
      </w:r>
    </w:p>
    <w:p>
      <w:pPr/>
      <w:r>
        <w:rPr/>
        <w:t>Обоснование: система описана как функционально полезная для малого масштаба, но disaster recovery практически не раскрыт: нет формализованных RTO/RPO, DR-runbook, регулярных учений, сценариев отказа поставщиков и явной защиты от single points of failure.</w:t>
      </w:r>
    </w:p>
    <w:p>
      <w:pPr>
        <w:pStyle w:val="Heading2"/>
      </w:pPr>
      <w:r>
        <w:rPr/>
        <w:t>1.1. Переживаемость по сценариям из методички (без полной потери работоспособности)</w:t>
      </w:r>
    </w:p>
    <w:p>
      <w:pPr/>
      <w:r>
        <w:rPr/>
        <w:t>Ниже — ответ на вопрос курса: какие катастрофические сценарии смоделированная система может пережить без полной потери работоспособности. База: on‑prem 1С + локальная сеть + внешняя интеграция ГЛОНАСС; часть вспомогательных сервисов может быть облачной (почта, обновления, внешние API).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Сценарий (методичка)</w:t>
            </w:r>
          </w:p>
        </w:tc>
        <w:tc>
          <w:tcPr>
            <w:tcW w:type="dxa" w:w="2880"/>
          </w:tcPr>
          <w:p>
            <w:r>
              <w:t>Переживаемость</w:t>
            </w:r>
          </w:p>
        </w:tc>
        <w:tc>
          <w:tcPr>
            <w:tcW w:type="dxa" w:w="2880"/>
          </w:tcPr>
          <w:p>
            <w:r>
              <w:t>Пояснение</w:t>
            </w:r>
          </w:p>
        </w:tc>
      </w:tr>
      <w:tr>
        <w:tc>
          <w:tcPr>
            <w:tcW w:type="dxa" w:w="2880"/>
          </w:tcPr>
          <w:p>
            <w:r>
              <w:t>Уход провайдера облака</w:t>
            </w:r>
          </w:p>
        </w:tc>
        <w:tc>
          <w:tcPr>
            <w:tcW w:type="dxa" w:w="2880"/>
          </w:tcPr>
          <w:p>
            <w:r>
              <w:t>Частично / зависит от состава зависимостей</w:t>
            </w:r>
          </w:p>
        </w:tc>
        <w:tc>
          <w:tcPr>
            <w:tcW w:type="dxa" w:w="2880"/>
          </w:tcPr>
          <w:p>
            <w:r>
              <w:t>Критичный контур 1С локальный — при отказе только облачной почты/файлового обмена возможна деградация коммуникаций, но не полный останов 1С. Если облако используется для бэкапов или шлюза ГЛОНАСС без запасного пути — риск полной потери ключевых функций.</w:t>
            </w:r>
          </w:p>
        </w:tc>
      </w:tr>
      <w:tr>
        <w:tc>
          <w:tcPr>
            <w:tcW w:type="dxa" w:w="2880"/>
          </w:tcPr>
          <w:p>
            <w:r>
              <w:t>Массовый DDoS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описанного периметра (WAF, scrubbing), нет резервного канала и плана деградации публичных точек. Возможен простой интеграций и доступа наружу; локальная работа в 1С может сохраняться лишь до исчерпания внутренних ресурсов и зависимости от внешних вызовов.</w:t>
            </w:r>
          </w:p>
        </w:tc>
      </w:tr>
      <w:tr>
        <w:tc>
          <w:tcPr>
            <w:tcW w:type="dxa" w:w="2880"/>
          </w:tcPr>
          <w:p>
            <w:r>
              <w:t>Утечка ключей (секреты интеграций, API, ключи шифрования бэкапов)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описания ротации секретов, vault, разделения ключей. Компрометация может дать доступ к интеграциям и данным; без runbook изоляции — высокий blast radius.</w:t>
            </w:r>
          </w:p>
        </w:tc>
      </w:tr>
      <w:tr>
        <w:tc>
          <w:tcPr>
            <w:tcW w:type="dxa" w:w="2880"/>
          </w:tcPr>
          <w:p>
            <w:r>
              <w:t>Компрометация цепочки поставок (вредоносное обновление 1С/ПО)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описанного контроля целостности поставки, staged rollout, rollback. Риск простоя всей конфигурации при установке «плохого» обновления.</w:t>
            </w:r>
          </w:p>
        </w:tc>
      </w:tr>
      <w:tr>
        <w:tc>
          <w:tcPr>
            <w:tcW w:type="dxa" w:w="2880"/>
          </w:tcPr>
          <w:p>
            <w:r>
              <w:t>Аварийное отключение ЦОДа / серверной (электричество, пожар, «мини‑ЦОД» организации)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Фактически эквивалентно отказу сервера 1С/БД при отсутствии горячего резерва и DR‑сайта. Без проверенного восстановления на второй площадке — полная потеря работоспособности критичного контура.</w:t>
            </w:r>
          </w:p>
        </w:tc>
      </w:tr>
      <w:tr>
        <w:tc>
          <w:tcPr>
            <w:tcW w:type="dxa" w:w="2880"/>
          </w:tcPr>
          <w:p>
            <w:r>
              <w:t>Санкционные ограничения на критические зависимости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плана замены поставщиков СУБД, ОС, компонентов интеграции и ГЛОНАСС‑сервиса. Возможен длительный простой до ручной миграции.</w:t>
            </w:r>
          </w:p>
        </w:tc>
      </w:tr>
      <w:tr>
        <w:tc>
          <w:tcPr>
            <w:tcW w:type="dxa" w:w="2880"/>
          </w:tcPr>
          <w:p>
            <w:r>
              <w:t>10‑кратный всплеск нагрузки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capacity plan и нагрузочных тестов; вероятна деградация 1С и интеграций до отказа.</w:t>
            </w:r>
          </w:p>
        </w:tc>
      </w:tr>
      <w:tr>
        <w:tc>
          <w:tcPr>
            <w:tcW w:type="dxa" w:w="2880"/>
          </w:tcPr>
          <w:p>
            <w:r>
              <w:t>Потеря ключевого сотрудника с уникальной экспертизой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knowledge base, парного доступа и описанных процедур эскалации к подрядчику; восстановление замедляется.</w:t>
            </w:r>
          </w:p>
        </w:tc>
      </w:tr>
    </w:tbl>
    <w:p/>
    <w:p>
      <w:pPr>
        <w:pStyle w:val="Heading1"/>
      </w:pPr>
      <w:r>
        <w:rPr/>
        <w:t>2. Матрица Black Swans</w:t>
      </w:r>
    </w:p>
    <w:p>
      <w:pPr/>
      <w:r>
        <w:rPr/>
        <w:t>Формат: сценарий × вероятность × влияние × готовность системы.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Сценарий</w:t>
            </w:r>
          </w:p>
        </w:tc>
        <w:tc>
          <w:tcPr>
            <w:tcW w:type="dxa" w:w="2160"/>
          </w:tcPr>
          <w:p>
            <w:r>
              <w:t>Вероятность</w:t>
            </w:r>
          </w:p>
        </w:tc>
        <w:tc>
          <w:tcPr>
            <w:tcW w:type="dxa" w:w="2160"/>
          </w:tcPr>
          <w:p>
            <w:r>
              <w:t>Влияние</w:t>
            </w:r>
          </w:p>
        </w:tc>
        <w:tc>
          <w:tcPr>
            <w:tcW w:type="dxa" w:w="2160"/>
          </w:tcPr>
          <w:p>
            <w:r>
              <w:t>Готовность системы</w:t>
            </w:r>
          </w:p>
        </w:tc>
      </w:tr>
      <w:tr>
        <w:tc>
          <w:tcPr>
            <w:tcW w:type="dxa" w:w="2160"/>
          </w:tcPr>
          <w:p>
            <w:r>
              <w:t>Отказ сервера 1С / БД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backup упоминается, но нет RTO/RPO и тестов восстановления</w:t>
            </w:r>
          </w:p>
        </w:tc>
      </w:tr>
      <w:tr>
        <w:tc>
          <w:tcPr>
            <w:tcW w:type="dxa" w:w="2160"/>
          </w:tcPr>
          <w:p>
            <w:r>
              <w:t>Потеря или повреждение базы 1С</w:t>
            </w:r>
          </w:p>
        </w:tc>
        <w:tc>
          <w:tcPr>
            <w:tcW w:type="dxa" w:w="2160"/>
          </w:tcPr>
          <w:p>
            <w:r>
              <w:t>Низкая / средняя</w:t>
            </w:r>
          </w:p>
        </w:tc>
        <w:tc>
          <w:tcPr>
            <w:tcW w:type="dxa" w:w="2160"/>
          </w:tcPr>
          <w:p>
            <w:r>
              <w:t>Критическое</w:t>
            </w:r>
          </w:p>
        </w:tc>
        <w:tc>
          <w:tcPr>
            <w:tcW w:type="dxa" w:w="2160"/>
          </w:tcPr>
          <w:p>
            <w:r>
              <w:t>Низкая: нет описанного проверенного recovery-процесса</w:t>
            </w:r>
          </w:p>
        </w:tc>
      </w:tr>
      <w:tr>
        <w:tc>
          <w:tcPr>
            <w:tcW w:type="dxa" w:w="2160"/>
          </w:tcPr>
          <w:p>
            <w:r>
              <w:t>Массовый сбой интеграции с ГЛОНАСС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Средняя: latency ГЛОНАСС в SLA, fallback не описан</w:t>
            </w:r>
          </w:p>
        </w:tc>
      </w:tr>
      <w:tr>
        <w:tc>
          <w:tcPr>
            <w:tcW w:type="dxa" w:w="2160"/>
          </w:tcPr>
          <w:p>
            <w:r>
              <w:t>Уход ключевого администратора / 1С-специалиста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нет knowledge base и плана передачи экспертизы</w:t>
            </w:r>
          </w:p>
        </w:tc>
      </w:tr>
      <w:tr>
        <w:tc>
          <w:tcPr>
            <w:tcW w:type="dxa" w:w="2160"/>
          </w:tcPr>
          <w:p>
            <w:r>
              <w:t>Шифровальщик / компрометация рабочих станций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базовая защита есть, сценарий изоляции и восстановления не описан</w:t>
            </w:r>
          </w:p>
        </w:tc>
      </w:tr>
      <w:tr>
        <w:tc>
          <w:tcPr>
            <w:tcW w:type="dxa" w:w="2160"/>
          </w:tcPr>
          <w:p>
            <w:r>
              <w:t>Утечка учётных данных администратора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MFA и регулярный пересмотр прав явно не описаны</w:t>
            </w:r>
          </w:p>
        </w:tc>
      </w:tr>
      <w:tr>
        <w:tc>
          <w:tcPr>
            <w:tcW w:type="dxa" w:w="2160"/>
          </w:tcPr>
          <w:p>
            <w:r>
              <w:t>Утечка секретов и криптоключей (API, токены интеграций, ключи бэкапов)</w:t>
            </w:r>
          </w:p>
        </w:tc>
        <w:tc>
          <w:tcPr>
            <w:tcW w:type="dxa" w:w="2160"/>
          </w:tcPr>
          <w:p>
            <w:r>
              <w:t>Низкая / 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нет vault, ротации секретов и сценария отзыва ключей</w:t>
            </w:r>
          </w:p>
        </w:tc>
      </w:tr>
      <w:tr>
        <w:tc>
          <w:tcPr>
            <w:tcW w:type="dxa" w:w="2160"/>
          </w:tcPr>
          <w:p>
            <w:r>
              <w:t>Массовый DDoS (периметр, интернет-канал, внешние точки интеграции)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Среднее / высокое</w:t>
            </w:r>
          </w:p>
        </w:tc>
        <w:tc>
          <w:tcPr>
            <w:tcW w:type="dxa" w:w="2160"/>
          </w:tcPr>
          <w:p>
            <w:r>
              <w:t>Низкая: нет WAF/анти-DDoS, нет резервного канала и плана деградации</w:t>
            </w:r>
          </w:p>
        </w:tc>
      </w:tr>
      <w:tr>
        <w:tc>
          <w:tcPr>
            <w:tcW w:type="dxa" w:w="2160"/>
          </w:tcPr>
          <w:p>
            <w:r>
              <w:t>Уход провайдера облака (почта, бэкап как сервис, SaaS-зависимости)</w:t>
            </w:r>
          </w:p>
        </w:tc>
        <w:tc>
          <w:tcPr>
            <w:tcW w:type="dxa" w:w="2160"/>
          </w:tcPr>
          <w:p>
            <w:r>
              <w:t>Низкая / средняя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  <w:tc>
          <w:tcPr>
            <w:tcW w:type="dxa" w:w="2160"/>
          </w:tcPr>
          <w:p>
            <w:r>
              <w:t>Низкая–средняя: критичный контур локальный; риск высокий, если облако на критическом пути</w:t>
            </w:r>
          </w:p>
        </w:tc>
      </w:tr>
      <w:tr>
        <w:tc>
          <w:tcPr>
            <w:tcW w:type="dxa" w:w="2160"/>
          </w:tcPr>
          <w:p>
            <w:r>
              <w:t>Аварийное отключение ЦОДа / серверной (электричество, пожар)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Критическое</w:t>
            </w:r>
          </w:p>
        </w:tc>
        <w:tc>
          <w:tcPr>
            <w:tcW w:type="dxa" w:w="2160"/>
          </w:tcPr>
          <w:p>
            <w:r>
              <w:t>Низкая: нет второй площадки и DR‑репликации; восстановление зависит от бэкапа и сроков</w:t>
            </w:r>
          </w:p>
        </w:tc>
      </w:tr>
      <w:tr>
        <w:tc>
          <w:tcPr>
            <w:tcW w:type="dxa" w:w="2160"/>
          </w:tcPr>
          <w:p>
            <w:r>
              <w:t>10-кратный рост нагрузки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Среднее / высокое</w:t>
            </w:r>
          </w:p>
        </w:tc>
        <w:tc>
          <w:tcPr>
            <w:tcW w:type="dxa" w:w="2160"/>
          </w:tcPr>
          <w:p>
            <w:r>
              <w:t>Низкая: нет нагрузочного тестирования и capacity plan</w:t>
            </w:r>
          </w:p>
        </w:tc>
      </w:tr>
      <w:tr>
        <w:tc>
          <w:tcPr>
            <w:tcW w:type="dxa" w:w="2160"/>
          </w:tcPr>
          <w:p>
            <w:r>
              <w:t>Отключение основного интернет-канала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  <w:tc>
          <w:tcPr>
            <w:tcW w:type="dxa" w:w="2160"/>
          </w:tcPr>
          <w:p>
            <w:r>
              <w:t>Низкая: резервный канал не описан</w:t>
            </w:r>
          </w:p>
        </w:tc>
      </w:tr>
      <w:tr>
        <w:tc>
          <w:tcPr>
            <w:tcW w:type="dxa" w:w="2160"/>
          </w:tcPr>
          <w:p>
            <w:r>
              <w:t>Санкционные ограничения / отказ внешнего ПО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  <w:tc>
          <w:tcPr>
            <w:tcW w:type="dxa" w:w="2160"/>
          </w:tcPr>
          <w:p>
            <w:r>
              <w:t>Низкая: альтернативные поставщики и план миграции не описаны</w:t>
            </w:r>
          </w:p>
        </w:tc>
      </w:tr>
      <w:tr>
        <w:tc>
          <w:tcPr>
            <w:tcW w:type="dxa" w:w="2160"/>
          </w:tcPr>
          <w:p>
            <w:r>
              <w:t>Компрометация цепочки поставок / обновления 1С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нет регламента проверки обновлений и rollback-плана</w:t>
            </w:r>
          </w:p>
        </w:tc>
      </w:tr>
    </w:tbl>
    <w:p/>
    <w:p>
      <w:pPr>
        <w:pStyle w:val="Heading1"/>
      </w:pPr>
      <w:r>
        <w:rPr/>
        <w:t>3. Single Points of Failure (SPOF)</w:t>
      </w:r>
    </w:p>
    <w:p>
      <w:pPr/>
      <w:r>
        <w:rPr/>
        <w:t>Критические SPOF в смоделированной архитектуре партнёра:</w:t>
      </w:r>
    </w:p>
    <w:p>
      <w:pPr>
        <w:pStyle w:val="ListBullet"/>
      </w:pPr>
      <w:r>
        <w:rPr/>
        <w:t>Единый сервер 1С / БД — при отказе останавливаются акты, отчётность, жалобы и работа операторов.</w:t>
      </w:r>
    </w:p>
    <w:p>
      <w:pPr>
        <w:pStyle w:val="ListBullet"/>
      </w:pPr>
      <w:r>
        <w:rPr/>
        <w:t>Единый канал получения данных ГЛОНАСС — при сбое поставщика или интеграции теряется ключевой источник данных.</w:t>
      </w:r>
    </w:p>
    <w:p>
      <w:pPr>
        <w:pStyle w:val="ListBullet"/>
      </w:pPr>
      <w:r>
        <w:rPr/>
        <w:t>Один системный администратор / подрядчик 1С — риск долгого восстановления и потери экспертизы.</w:t>
      </w:r>
    </w:p>
    <w:p>
      <w:pPr>
        <w:pStyle w:val="ListBullet"/>
      </w:pPr>
      <w:r>
        <w:rPr/>
        <w:t>Единое файловое хранилище фото и документов — потеря или шифрование блокирует доказательную базу.</w:t>
      </w:r>
    </w:p>
    <w:p>
      <w:pPr>
        <w:pStyle w:val="ListBullet"/>
      </w:pPr>
      <w:r>
        <w:rPr/>
        <w:t>Отсутствие формального DR-контура — backup может существовать формально без проверенного восстановления.</w:t>
      </w:r>
    </w:p>
    <w:p>
      <w:pPr>
        <w:pStyle w:val="Heading1"/>
      </w:pPr>
      <w:r>
        <w:rPr/>
        <w:t>4. Blast radius containment</w:t>
      </w:r>
    </w:p>
    <w:p>
      <w:pPr/>
      <w:r>
        <w:rPr/>
        <w:t>Оценка: низкая / средняя. Разграничение ролей в 1С есть, но сетевой и эксплуатационной изоляции недостаточно для ограничения радиуса аварии.</w:t>
      </w:r>
    </w:p>
    <w:p>
      <w:pPr>
        <w:pStyle w:val="ListBullet"/>
      </w:pPr>
      <w:r>
        <w:rPr/>
        <w:t>Bulkhead pattern (жёсткие границы доверия и ресурсов между контурами) не описан: критичные данные, интеграции и админ-доступы не разведены по изолированным зонам.</w:t>
      </w:r>
    </w:p>
    <w:p>
      <w:pPr>
        <w:pStyle w:val="ListBullet"/>
      </w:pPr>
      <w:r>
        <w:rPr/>
        <w:t>Нет явного разделения пользовательского и серверного сегментов сети.</w:t>
      </w:r>
    </w:p>
    <w:p>
      <w:pPr>
        <w:pStyle w:val="ListBullet"/>
      </w:pPr>
      <w:r>
        <w:rPr/>
        <w:t>Нет отдельной DMZ для внешних интеграций.</w:t>
      </w:r>
    </w:p>
    <w:p>
      <w:pPr>
        <w:pStyle w:val="ListBullet"/>
      </w:pPr>
      <w:r>
        <w:rPr/>
        <w:t>Не описаны circuit breaker и fallback для ГЛОНАСС-интеграции.</w:t>
      </w:r>
    </w:p>
    <w:p>
      <w:pPr>
        <w:pStyle w:val="ListBullet"/>
      </w:pPr>
      <w:r>
        <w:rPr/>
        <w:t>Не описана graceful degradation при недоступности ГЛОНАСС.</w:t>
      </w:r>
    </w:p>
    <w:p>
      <w:pPr>
        <w:pStyle w:val="ListBullet"/>
      </w:pPr>
      <w:r>
        <w:rPr/>
        <w:t>Нет отдельного контура восстановления для БД, фотоархива и 1С.</w:t>
      </w:r>
    </w:p>
    <w:p>
      <w:pPr>
        <w:pStyle w:val="ListBullet"/>
      </w:pPr>
      <w:r>
        <w:rPr/>
        <w:t>Компрометация администратора потенциально даёт широкий доступ.</w:t>
      </w:r>
    </w:p>
    <w:p>
      <w:pPr/>
      <w:r>
        <w:rPr/>
        <w:t>Вывод: сбой одного критического компонента может затронуть почти всю систему.</w:t>
      </w:r>
    </w:p>
    <w:p>
      <w:pPr>
        <w:pStyle w:val="Heading1"/>
      </w:pPr>
      <w:r>
        <w:rPr/>
        <w:t>5. Качество Recovery-протоколов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Элемент</w:t>
            </w:r>
          </w:p>
        </w:tc>
        <w:tc>
          <w:tcPr>
            <w:tcW w:type="dxa" w:w="4320"/>
          </w:tcPr>
          <w:p>
            <w:r>
              <w:t>Оценка / статус</w:t>
            </w:r>
          </w:p>
        </w:tc>
      </w:tr>
      <w:tr>
        <w:tc>
          <w:tcPr>
            <w:tcW w:type="dxa" w:w="4320"/>
          </w:tcPr>
          <w:p>
            <w:r>
              <w:t>RTO</w:t>
            </w:r>
          </w:p>
        </w:tc>
        <w:tc>
          <w:tcPr>
            <w:tcW w:type="dxa" w:w="4320"/>
          </w:tcPr>
          <w:p>
            <w:r>
              <w:t>Не задан</w:t>
            </w:r>
          </w:p>
        </w:tc>
      </w:tr>
      <w:tr>
        <w:tc>
          <w:tcPr>
            <w:tcW w:type="dxa" w:w="4320"/>
          </w:tcPr>
          <w:p>
            <w:r>
              <w:t>RPO</w:t>
            </w:r>
          </w:p>
        </w:tc>
        <w:tc>
          <w:tcPr>
            <w:tcW w:type="dxa" w:w="4320"/>
          </w:tcPr>
          <w:p>
            <w:r>
              <w:t>Не задан</w:t>
            </w:r>
          </w:p>
        </w:tc>
      </w:tr>
      <w:tr>
        <w:tc>
          <w:tcPr>
            <w:tcW w:type="dxa" w:w="4320"/>
          </w:tcPr>
          <w:p>
            <w:r>
              <w:t>Disaster Recovery Plan</w:t>
            </w:r>
          </w:p>
        </w:tc>
        <w:tc>
          <w:tcPr>
            <w:tcW w:type="dxa" w:w="4320"/>
          </w:tcPr>
          <w:p>
            <w:r>
              <w:t>Не описан</w:t>
            </w:r>
          </w:p>
        </w:tc>
      </w:tr>
      <w:tr>
        <w:tc>
          <w:tcPr>
            <w:tcW w:type="dxa" w:w="4320"/>
          </w:tcPr>
          <w:p>
            <w:r>
              <w:t>Runbook для top-5 catastrophic failures</w:t>
            </w:r>
          </w:p>
        </w:tc>
        <w:tc>
          <w:tcPr>
            <w:tcW w:type="dxa" w:w="4320"/>
          </w:tcPr>
          <w:p>
            <w:r>
              <w:t>Не представлен</w:t>
            </w:r>
          </w:p>
        </w:tc>
      </w:tr>
      <w:tr>
        <w:tc>
          <w:tcPr>
            <w:tcW w:type="dxa" w:w="4320"/>
          </w:tcPr>
          <w:p>
            <w:r>
              <w:t>Роль, принимающая решение об активации DR</w:t>
            </w:r>
          </w:p>
        </w:tc>
        <w:tc>
          <w:tcPr>
            <w:tcW w:type="dxa" w:w="4320"/>
          </w:tcPr>
          <w:p>
            <w:r>
              <w:t>Не определена</w:t>
            </w:r>
          </w:p>
        </w:tc>
      </w:tr>
      <w:tr>
        <w:tc>
          <w:tcPr>
            <w:tcW w:type="dxa" w:w="4320"/>
          </w:tcPr>
          <w:p>
            <w:r>
              <w:t>Регулярные DR drills</w:t>
            </w:r>
          </w:p>
        </w:tc>
        <w:tc>
          <w:tcPr>
            <w:tcW w:type="dxa" w:w="4320"/>
          </w:tcPr>
          <w:p>
            <w:r>
              <w:t>Не описаны</w:t>
            </w:r>
          </w:p>
        </w:tc>
      </w:tr>
      <w:tr>
        <w:tc>
          <w:tcPr>
            <w:tcW w:type="dxa" w:w="4320"/>
          </w:tcPr>
          <w:p>
            <w:r>
              <w:t>Проверка восстановления backup</w:t>
            </w:r>
          </w:p>
        </w:tc>
        <w:tc>
          <w:tcPr>
            <w:tcW w:type="dxa" w:w="4320"/>
          </w:tcPr>
          <w:p>
            <w:r>
              <w:t>Не описана</w:t>
            </w:r>
          </w:p>
        </w:tc>
      </w:tr>
      <w:tr>
        <w:tc>
          <w:tcPr>
            <w:tcW w:type="dxa" w:w="4320"/>
          </w:tcPr>
          <w:p>
            <w:r>
              <w:t>Rollback после неудачного релиза 1С</w:t>
            </w:r>
          </w:p>
        </w:tc>
        <w:tc>
          <w:tcPr>
            <w:tcW w:type="dxa" w:w="4320"/>
          </w:tcPr>
          <w:p>
            <w:r>
              <w:t>Не описан</w:t>
            </w:r>
          </w:p>
        </w:tc>
      </w:tr>
    </w:tbl>
    <w:p/>
    <w:p>
      <w:pPr>
        <w:pStyle w:val="Heading2"/>
      </w:pPr>
      <w:r>
        <w:rPr/>
        <w:t>5.1. Top-5 catastrophic failures (для runbook)</w:t>
      </w:r>
    </w:p>
    <w:p>
      <w:pPr>
        <w:pStyle w:val="ListNumber"/>
      </w:pPr>
      <w:r>
        <w:rPr/>
        <w:t>Отказ сервера 1С / БД.</w:t>
      </w:r>
    </w:p>
    <w:p>
      <w:pPr>
        <w:pStyle w:val="ListNumber"/>
      </w:pPr>
      <w:r>
        <w:rPr/>
        <w:t>Повреждение или потеря базы 1С.</w:t>
      </w:r>
    </w:p>
    <w:p>
      <w:pPr>
        <w:pStyle w:val="ListNumber"/>
      </w:pPr>
      <w:r>
        <w:rPr/>
        <w:t>Массовый сбой интеграции с ГЛОНАСС.</w:t>
      </w:r>
    </w:p>
    <w:p>
      <w:pPr>
        <w:pStyle w:val="ListNumber"/>
      </w:pPr>
      <w:r>
        <w:rPr/>
        <w:t>Шифровальщик на рабочих станциях или файловом хранилище.</w:t>
      </w:r>
    </w:p>
    <w:p>
      <w:pPr>
        <w:pStyle w:val="ListNumber"/>
      </w:pPr>
      <w:r>
        <w:rPr/>
        <w:t>Компрометация учётной записи администратора.</w:t>
      </w:r>
    </w:p>
    <w:p>
      <w:pPr/>
      <w:r>
        <w:rPr/>
        <w:t>По этим сценариям в работах партнёра нет достаточно формального recovery-протокола: не указаны ответственные, порядок действий, допустимое время простоя, допустимая потеря данных и критерии возврата к нормальной работе.</w:t>
      </w:r>
    </w:p>
    <w:p>
      <w:pPr>
        <w:pStyle w:val="Heading1"/>
      </w:pPr>
      <w:r>
        <w:rPr/>
        <w:t>6. Тестируемость восстановления</w:t>
      </w:r>
    </w:p>
    <w:p>
      <w:pPr/>
      <w:r>
        <w:rPr/>
        <w:t>Оценка: низкая.</w:t>
      </w:r>
    </w:p>
    <w:p>
      <w:pPr>
        <w:pStyle w:val="ListBullet"/>
      </w:pPr>
      <w:r>
        <w:rPr/>
        <w:t>Нет явных DR drills.</w:t>
      </w:r>
    </w:p>
    <w:p>
      <w:pPr>
        <w:pStyle w:val="ListBullet"/>
      </w:pPr>
      <w:r>
        <w:rPr/>
        <w:t>Нет тестового восстановления базы 1С из backup.</w:t>
      </w:r>
    </w:p>
    <w:p>
      <w:pPr>
        <w:pStyle w:val="ListBullet"/>
      </w:pPr>
      <w:r>
        <w:rPr/>
        <w:t>Нет проверки восстановления фотоархива.</w:t>
      </w:r>
    </w:p>
    <w:p>
      <w:pPr>
        <w:pStyle w:val="ListBullet"/>
      </w:pPr>
      <w:r>
        <w:rPr/>
        <w:t>Не описан chaos engineering.</w:t>
      </w:r>
    </w:p>
    <w:p>
      <w:pPr>
        <w:pStyle w:val="ListBullet"/>
      </w:pPr>
      <w:r>
        <w:rPr/>
        <w:t>Не описаны нагрузочные тесты.</w:t>
      </w:r>
    </w:p>
    <w:p>
      <w:pPr>
        <w:pStyle w:val="ListBullet"/>
      </w:pPr>
      <w:r>
        <w:rPr/>
        <w:t>Не описаны tabletop exercises.</w:t>
      </w:r>
    </w:p>
    <w:p>
      <w:pPr>
        <w:pStyle w:val="ListBullet"/>
      </w:pPr>
      <w:r>
        <w:rPr/>
        <w:t>Нет контроля успешности backup.</w:t>
      </w:r>
    </w:p>
    <w:p>
      <w:pPr/>
      <w:r>
        <w:rPr/>
        <w:t>Риск: backup может существовать формально, но в момент аварии оказаться непригодным или слишком медленным.</w:t>
      </w:r>
    </w:p>
    <w:p>
      <w:pPr>
        <w:pStyle w:val="Heading1"/>
      </w:pPr>
      <w:r>
        <w:rPr/>
        <w:t>7. Пост-мортем культура</w:t>
      </w:r>
    </w:p>
    <w:p>
      <w:pPr/>
      <w:r>
        <w:rPr/>
        <w:t>Оценка: низкая / не описана.</w:t>
      </w:r>
    </w:p>
    <w:p>
      <w:pPr>
        <w:pStyle w:val="ListBullet"/>
      </w:pPr>
      <w:r>
        <w:rPr/>
        <w:t>Не описаны blameless post-mortems.</w:t>
      </w:r>
    </w:p>
    <w:p>
      <w:pPr>
        <w:pStyle w:val="ListBullet"/>
      </w:pPr>
      <w:r>
        <w:rPr/>
        <w:t>Не описана база знаний инцидентов.</w:t>
      </w:r>
    </w:p>
    <w:p>
      <w:pPr>
        <w:pStyle w:val="ListBullet"/>
      </w:pPr>
      <w:r>
        <w:rPr/>
        <w:t>Не описана классификация причин аварий.</w:t>
      </w:r>
    </w:p>
    <w:p>
      <w:pPr>
        <w:pStyle w:val="ListBullet"/>
      </w:pPr>
      <w:r>
        <w:rPr/>
        <w:t>Не описан owner для corrective actions.</w:t>
      </w:r>
    </w:p>
    <w:p>
      <w:pPr>
        <w:pStyle w:val="ListBullet"/>
      </w:pPr>
      <w:r>
        <w:rPr/>
        <w:t>Не описан контроль выполнения мер после инцидента.</w:t>
      </w:r>
    </w:p>
    <w:p>
      <w:pPr>
        <w:pStyle w:val="ListBullet"/>
      </w:pPr>
      <w:r>
        <w:rPr/>
        <w:t>Слабо связано с Problem Management в артефактах партнёра.</w:t>
      </w:r>
    </w:p>
    <w:p>
      <w:pPr>
        <w:pStyle w:val="Heading1"/>
      </w:pPr>
      <w:r>
        <w:rPr/>
        <w:t>8. Топ-3 критических пробела</w:t>
      </w:r>
    </w:p>
    <w:p>
      <w:pPr>
        <w:pStyle w:val="ListNumber"/>
      </w:pPr>
      <w:r>
        <w:rPr/>
        <w:t>Нет формализованных RTO/RPO и DR-plan — непонятно, сколько система может быть недоступна и сколько данных допустимо потерять.</w:t>
      </w:r>
    </w:p>
    <w:p>
      <w:pPr>
        <w:pStyle w:val="ListNumber"/>
      </w:pPr>
      <w:r>
        <w:rPr/>
        <w:t>Нет проверенного восстановления backup — нет доказательства регулярных тестов восстановления.</w:t>
      </w:r>
    </w:p>
    <w:p>
      <w:pPr>
        <w:pStyle w:val="ListNumber"/>
      </w:pPr>
      <w:r>
        <w:rPr/>
        <w:t>Сильные SPOF — сервер 1С, БД, ГЛОНАСС-интеграция, файловое хранилище и ключевой администратор могут остановить критичные процессы.</w:t>
      </w:r>
    </w:p>
    <w:p>
      <w:pPr>
        <w:pStyle w:val="Heading1"/>
      </w:pPr>
      <w:r>
        <w:rPr/>
        <w:t>9. Топ-3 рекомендации по усилению устойчивости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Приоритет</w:t>
            </w:r>
          </w:p>
        </w:tc>
        <w:tc>
          <w:tcPr>
            <w:tcW w:type="dxa" w:w="2880"/>
          </w:tcPr>
          <w:p>
            <w:r>
              <w:t>Рекомендация</w:t>
            </w:r>
          </w:p>
        </w:tc>
        <w:tc>
          <w:tcPr>
            <w:tcW w:type="dxa" w:w="2880"/>
          </w:tcPr>
          <w:p>
            <w:r>
              <w:t>Ожидаемый эффект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Ввести DR-plan с RTO/RPO для 1С и БД (например RTO ≤ 4 ч, RPO ≤ 24 ч) и для фотоархива; назначить роль, принимающую активацию DR (например директор / начальник отдела по согласованию с администратором).</w:t>
            </w:r>
          </w:p>
        </w:tc>
        <w:tc>
          <w:tcPr>
            <w:tcW w:type="dxa" w:w="2880"/>
          </w:tcPr>
          <w:p>
            <w:r>
              <w:t>Понятные цели восстановления и управляемое принятие решения при аварии.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Настроить и тестировать backup: ежедневный backup базы, еженедельный полный, хранение минимум в двух местах; ежемесячное тестовое восстановление на стенде с фиксацией результата.</w:t>
            </w:r>
          </w:p>
        </w:tc>
        <w:tc>
          <w:tcPr>
            <w:tcW w:type="dxa" w:w="2880"/>
          </w:tcPr>
          <w:p>
            <w:r>
              <w:t>Снижение риска «бэкап есть, восстановить нельзя».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Снизить SPOF и blast radius: сегментация сети, MFA для админов, резервный интернет-канал, fallback при недоступности ГЛОНАСС, knowledge base для администратора и подрядчика 1С.</w:t>
            </w:r>
          </w:p>
        </w:tc>
        <w:tc>
          <w:tcPr>
            <w:tcW w:type="dxa" w:w="2880"/>
          </w:tcPr>
          <w:p>
            <w:r>
              <w:t>Ограничение радиуса аварии и ускорение реакции.</w:t>
            </w:r>
          </w:p>
        </w:tc>
      </w:tr>
    </w:tbl>
    <w:p/>
    <w:p>
      <w:pPr>
        <w:pStyle w:val="Heading1"/>
      </w:pPr>
      <w:r>
        <w:rPr/>
        <w:t>10. Итоговый вывод</w:t>
      </w:r>
    </w:p>
    <w:p>
      <w:pPr/>
      <w:r>
        <w:rPr/>
        <w:t>Система партнёра функционально полезна для муниципального транспортного надзора, но эксплуатационная устойчивость пока недостаточна для критичного сервиса. Основной риск — не в бизнес-логике 1С, а в отсутствии формального recovery-дизайна.</w:t>
      </w:r>
    </w:p>
    <w:p>
      <w:pPr/>
      <w:r>
        <w:rPr/>
        <w:t>После внедрения DR-plan, тестируемого backup, мониторинга, MFA и устранения ключевых SPOF оценка устойчивости может вырасти с 4/10 до 7–8/10.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