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0499" w14:textId="77777777" w:rsidR="00E1140D" w:rsidRPr="00E1140D" w:rsidRDefault="00E1140D" w:rsidP="00E1140D">
      <w:r w:rsidRPr="00E1140D">
        <w:rPr>
          <w:b/>
          <w:bCs/>
        </w:rPr>
        <w:t>Критическая ошибка 1 — Нет SWOT-анализа своего проекта</w:t>
      </w:r>
    </w:p>
    <w:p w14:paraId="1FE431C2" w14:textId="77777777" w:rsidR="00E1140D" w:rsidRPr="00E1140D" w:rsidRDefault="00E1140D" w:rsidP="00E1140D">
      <w:r w:rsidRPr="00E1140D">
        <w:t>Добавлен полноценный раздел «SWOT-анализ разрабатываемой системы» с четырьмя квадрантами по 4 пункта каждый. Сильные стороны отражают уникальное технологическое позиционирование (RAG + LLM + диалоговый тренажёр в одном продукте). Слабые стороны честно фиксируют отсутствие клиентской базы и зависимость от качества загружаемых документов. Возможности и угрозы привязаны к реальной рыночной динамике — росту спроса на импортозамещение и риску со стороны экосистемных игроков.</w:t>
      </w:r>
    </w:p>
    <w:p w14:paraId="1055A098" w14:textId="77777777" w:rsidR="00E1140D" w:rsidRPr="00E1140D" w:rsidRDefault="00E1140D" w:rsidP="00E1140D">
      <w:r w:rsidRPr="00E1140D">
        <w:pict w14:anchorId="32B0A83E">
          <v:rect id="_x0000_i1085" style="width:0;height:1.5pt" o:hralign="center" o:hrstd="t" o:hr="t" fillcolor="#a0a0a0" stroked="f"/>
        </w:pict>
      </w:r>
    </w:p>
    <w:p w14:paraId="3FFE94C7" w14:textId="77777777" w:rsidR="00E1140D" w:rsidRPr="00E1140D" w:rsidRDefault="00E1140D" w:rsidP="00E1140D">
      <w:r w:rsidRPr="00E1140D">
        <w:rPr>
          <w:b/>
          <w:bCs/>
        </w:rPr>
        <w:t>Критическая ошибка 2 — Нет пятого конкурента</w:t>
      </w:r>
    </w:p>
    <w:p w14:paraId="249E5A8E" w14:textId="16ECAB49" w:rsidR="00E1140D" w:rsidRPr="00E1140D" w:rsidRDefault="00E1140D" w:rsidP="00E1140D">
      <w:r>
        <w:t>Конкурентов 4</w:t>
      </w:r>
    </w:p>
    <w:p w14:paraId="6A04BF44" w14:textId="77777777" w:rsidR="00E1140D" w:rsidRPr="00E1140D" w:rsidRDefault="00E1140D" w:rsidP="00E1140D">
      <w:r w:rsidRPr="00E1140D">
        <w:pict w14:anchorId="3E33276B">
          <v:rect id="_x0000_i1086" style="width:0;height:1.5pt" o:hralign="center" o:hrstd="t" o:hr="t" fillcolor="#a0a0a0" stroked="f"/>
        </w:pict>
      </w:r>
    </w:p>
    <w:p w14:paraId="532A910F" w14:textId="77777777" w:rsidR="00E1140D" w:rsidRPr="00E1140D" w:rsidRDefault="00E1140D" w:rsidP="00E1140D">
      <w:r w:rsidRPr="00E1140D">
        <w:rPr>
          <w:b/>
          <w:bCs/>
        </w:rPr>
        <w:t>Критическая ошибка 3 — Не разделены прямые и косвенные конкуренты</w:t>
      </w:r>
    </w:p>
    <w:p w14:paraId="230BC1DF" w14:textId="2C345ECC" w:rsidR="00E1140D" w:rsidRPr="00E1140D" w:rsidRDefault="00E1140D" w:rsidP="00E1140D">
      <w:r w:rsidRPr="00E1140D">
        <w:t>Сразу после вводного абзаража раздела добавлен отдельный абзац «Классификация конкурентов». Mirapolis, iSpring, Websoft отнесены к прямым конкурентам с обоснованием — пересечение по функциональному ядру (LLM, RAG, диалоговые тренажёры). StartExam отнесён к косвенным с пояснением: решает смежную задачу оценки персонала, но иными методами и без AI-генерации контента. Под описанием StartExam добавлена пометка в скобках для наглядности.</w:t>
      </w:r>
    </w:p>
    <w:p w14:paraId="15193E30" w14:textId="77777777" w:rsidR="00E1140D" w:rsidRPr="00E1140D" w:rsidRDefault="00E1140D" w:rsidP="00E1140D">
      <w:r w:rsidRPr="00E1140D">
        <w:pict w14:anchorId="4B7C05FE">
          <v:rect id="_x0000_i1087" style="width:0;height:1.5pt" o:hralign="center" o:hrstd="t" o:hr="t" fillcolor="#a0a0a0" stroked="f"/>
        </w:pict>
      </w:r>
    </w:p>
    <w:p w14:paraId="0473776E" w14:textId="77777777" w:rsidR="00E1140D" w:rsidRPr="00E1140D" w:rsidRDefault="00E1140D" w:rsidP="00E1140D">
      <w:r w:rsidRPr="00E1140D">
        <w:rPr>
          <w:b/>
          <w:bCs/>
        </w:rPr>
        <w:t>Критическая ошибка 4 — Смешиваются SLA и внутренние KPI</w:t>
      </w:r>
    </w:p>
    <w:p w14:paraId="5CB96F15" w14:textId="667ECCD2" w:rsidR="00E1140D" w:rsidRPr="00E1140D" w:rsidRDefault="00E1140D" w:rsidP="00E1140D">
      <w:r w:rsidRPr="00E1140D">
        <w:t xml:space="preserve">Проведена переработка: BD-4 переформулирован как SLA готовности инфраструктуры перед партнёром, BD-5 — как SLA реагирования на негативную обратную связь, SM-1 — как SLA первичного ответа на входящий запрос клиента, SM-3 — как SLA сопровождения сделки. </w:t>
      </w:r>
    </w:p>
    <w:p w14:paraId="50E75457" w14:textId="77777777" w:rsidR="00E1140D" w:rsidRPr="00E1140D" w:rsidRDefault="00E1140D" w:rsidP="00E1140D">
      <w:r w:rsidRPr="00E1140D">
        <w:pict w14:anchorId="6FFEBE1B">
          <v:rect id="_x0000_i1088" style="width:0;height:1.5pt" o:hralign="center" o:hrstd="t" o:hr="t" fillcolor="#a0a0a0" stroked="f"/>
        </w:pict>
      </w:r>
    </w:p>
    <w:p w14:paraId="559B7408" w14:textId="77777777" w:rsidR="00E1140D" w:rsidRPr="00E1140D" w:rsidRDefault="00E1140D" w:rsidP="00E1140D">
      <w:r w:rsidRPr="00E1140D">
        <w:rPr>
          <w:b/>
          <w:bCs/>
        </w:rPr>
        <w:t>Критическая ошибка 5 — Нет итоговых выводов</w:t>
      </w:r>
    </w:p>
    <w:p w14:paraId="47BF3C5C" w14:textId="1C02EDB8" w:rsidR="00E1140D" w:rsidRPr="00E1140D" w:rsidRDefault="00E1140D" w:rsidP="00E1140D">
      <w:r w:rsidRPr="00E1140D">
        <w:t>Добавлен раздел «Итоговый вывод по конкурентному позиционированию» с ответами на три конкретных вопроса. Первый — в каком сегменте максимальное преимущество: ниша онбординга специалистов техподдержки, где ни один конкурент не закрывает полный цикл нативно. Второй — главный риск: Websoft имеют крупную клиентскую базу и уже внедряют AI, потенциально закрывая разрыв за 12–18 месяцев. Третий — перспективная ниша для старта: B2B-компании с высокой текучестью в техподдержке (телеком, банки, IT-аутсорсинг), где экономический эффект от ускорения онбординга измерим и очевиден.</w:t>
      </w:r>
    </w:p>
    <w:p w14:paraId="0E7B6D04" w14:textId="77777777" w:rsidR="00E1140D" w:rsidRPr="00E1140D" w:rsidRDefault="00E1140D" w:rsidP="00E1140D">
      <w:r w:rsidRPr="00E1140D">
        <w:pict w14:anchorId="1AD01409">
          <v:rect id="_x0000_i1089" style="width:0;height:1.5pt" o:hralign="center" o:hrstd="t" o:hr="t" fillcolor="#a0a0a0" stroked="f"/>
        </w:pict>
      </w:r>
    </w:p>
    <w:p w14:paraId="3011F2E5" w14:textId="77777777" w:rsidR="00E1140D" w:rsidRPr="00E1140D" w:rsidRDefault="00E1140D" w:rsidP="00E1140D">
      <w:r w:rsidRPr="00E1140D">
        <w:rPr>
          <w:b/>
          <w:bCs/>
        </w:rPr>
        <w:lastRenderedPageBreak/>
        <w:t>Недочёт 1 — SWOT по конкурентам можно усилить</w:t>
      </w:r>
    </w:p>
    <w:p w14:paraId="3B9FF6C3" w14:textId="77777777" w:rsidR="00E1140D" w:rsidRPr="00E1140D" w:rsidRDefault="00E1140D" w:rsidP="00E1140D">
      <w:r w:rsidRPr="00E1140D">
        <w:t>У всех четырёх исходных конкурентов разделы Threats и Opportunities дополнены до трёх пунктов там, где их было два. Добавленные пункты содержательны и специфичны для каждого конкурента: для Mirapolis — медленный цикл разработки как ограничение внедрения AI, для iSpring — зависимость от PowerPoint-экосистемы, для StartExam — сужение рынка «чистого» тестирования при росте AI-LMS, для Websoft — конкуренция с более быстрыми AI-native стартапами.</w:t>
      </w:r>
    </w:p>
    <w:p w14:paraId="25A7E829" w14:textId="77777777" w:rsidR="00E1140D" w:rsidRPr="00E1140D" w:rsidRDefault="00E1140D" w:rsidP="00E1140D">
      <w:r w:rsidRPr="00E1140D">
        <w:pict w14:anchorId="212ED305">
          <v:rect id="_x0000_i1091" style="width:0;height:1.5pt" o:hralign="center" o:hrstd="t" o:hr="t" fillcolor="#a0a0a0" stroked="f"/>
        </w:pict>
      </w:r>
    </w:p>
    <w:p w14:paraId="35822F82" w14:textId="77777777" w:rsidR="00E1140D" w:rsidRPr="00E1140D" w:rsidRDefault="00E1140D" w:rsidP="00E1140D">
      <w:r w:rsidRPr="00E1140D">
        <w:rPr>
          <w:b/>
          <w:bCs/>
        </w:rPr>
        <w:t>Недочёт 3 — Отсутствуют корпоративные критерии в бенчмаркинге</w:t>
      </w:r>
    </w:p>
    <w:p w14:paraId="5E65540F" w14:textId="77777777" w:rsidR="00E1140D" w:rsidRPr="00E1140D" w:rsidRDefault="00E1140D" w:rsidP="00E1140D">
      <w:r w:rsidRPr="00E1140D">
        <w:t>В таблицу бенчмаркинга добавлены три новых критерия: разграничение прав доступа (RBAC), соответствие 152-ФЗ и специализация на техподдержке. Критерии выбраны как наиболее принципиальные для корпоративного B2B-клиента. Два оставшихся из аудита критерия — аудит действий пользователей и отказоустойчивость — не добавлены, поскольку их корректное раскрытие требует отдельной методологии с измеримыми порогами, а не строки в сравнительной таблице.</w:t>
      </w:r>
    </w:p>
    <w:p w14:paraId="7056A860" w14:textId="77777777" w:rsidR="00E1140D" w:rsidRPr="00E1140D" w:rsidRDefault="00E1140D" w:rsidP="00E1140D">
      <w:r w:rsidRPr="00E1140D">
        <w:pict w14:anchorId="1C6236EB">
          <v:rect id="_x0000_i1092" style="width:0;height:1.5pt" o:hralign="center" o:hrstd="t" o:hr="t" fillcolor="#a0a0a0" stroked="f"/>
        </w:pict>
      </w:r>
    </w:p>
    <w:p w14:paraId="47865E6A" w14:textId="77777777" w:rsidR="00E1140D" w:rsidRPr="00E1140D" w:rsidRDefault="00E1140D" w:rsidP="00E1140D">
      <w:r w:rsidRPr="00E1140D">
        <w:rPr>
          <w:b/>
          <w:bCs/>
        </w:rPr>
        <w:t>Недочёт 4 — Часть критериев оценивается субъективно</w:t>
      </w:r>
    </w:p>
    <w:p w14:paraId="08E0E5F2" w14:textId="77777777" w:rsidR="00E1140D" w:rsidRPr="00E1140D" w:rsidRDefault="00E1140D" w:rsidP="00E1140D">
      <w:r w:rsidRPr="00E1140D">
        <w:t>Перед таблицей бенчмаркинга вынесен отдельный блок с единой шкалой оценки и чёткими определениями: 1 — функция не поддерживается, 2 — реализована частично или без использования ИИ, 3 — полная реализация. Это устраняет неоднозначность формулировок «частично» и «ограничено». Полностью исключить субъективность без методологического приложения с критериями для каждой оценки в каждом критерии невозможно — это выходит за рамки данной работы.</w:t>
      </w:r>
    </w:p>
    <w:p w14:paraId="36E23BCC" w14:textId="77777777" w:rsidR="00E1140D" w:rsidRPr="00E1140D" w:rsidRDefault="00E1140D" w:rsidP="00E1140D">
      <w:r w:rsidRPr="00E1140D">
        <w:pict w14:anchorId="7EE18F83">
          <v:rect id="_x0000_i1093" style="width:0;height:1.5pt" o:hralign="center" o:hrstd="t" o:hr="t" fillcolor="#a0a0a0" stroked="f"/>
        </w:pict>
      </w:r>
    </w:p>
    <w:p w14:paraId="201CD482" w14:textId="77777777" w:rsidR="00E1140D" w:rsidRPr="00E1140D" w:rsidRDefault="00E1140D" w:rsidP="00E1140D">
      <w:r w:rsidRPr="00E1140D">
        <w:rPr>
          <w:b/>
          <w:bCs/>
        </w:rPr>
        <w:t>Недочёт 5 — Смешаны числовые и нечисловые шкалы</w:t>
      </w:r>
    </w:p>
    <w:p w14:paraId="0D113913" w14:textId="77777777" w:rsidR="00E1140D" w:rsidRPr="00E1140D" w:rsidRDefault="00E1140D" w:rsidP="00E1140D">
      <w:r w:rsidRPr="00E1140D">
        <w:t>Все критерии таблицы бенчмаркинга переведены на единую шкалу 1–2–3, что позволяет агрегировать результаты и сравнивать суммарные оценки. Единственное исключение — критерий «Время генерации теста», оставленный в минутах: это количественный показатель с абсолютными значениями, перевод которого в трёхбалльную шкалу привёл бы к потере информации. Он вынесен отдельной строкой и не участвует в суммарном scoring.</w:t>
      </w:r>
    </w:p>
    <w:p w14:paraId="68C74A11" w14:textId="77777777" w:rsidR="00E1140D" w:rsidRPr="00E1140D" w:rsidRDefault="00E1140D" w:rsidP="00E1140D">
      <w:r w:rsidRPr="00E1140D">
        <w:pict w14:anchorId="2E4B92FF">
          <v:rect id="_x0000_i1094" style="width:0;height:1.5pt" o:hralign="center" o:hrstd="t" o:hr="t" fillcolor="#a0a0a0" stroked="f"/>
        </w:pict>
      </w:r>
    </w:p>
    <w:p w14:paraId="407168E9" w14:textId="77777777" w:rsidR="00E1140D" w:rsidRPr="00E1140D" w:rsidRDefault="00E1140D" w:rsidP="00E1140D">
      <w:r w:rsidRPr="00E1140D">
        <w:rPr>
          <w:b/>
          <w:bCs/>
        </w:rPr>
        <w:t>Недочёт 6 — Нет блока по информационной безопасности</w:t>
      </w:r>
    </w:p>
    <w:p w14:paraId="59D27A5A" w14:textId="77777777" w:rsidR="00E1140D" w:rsidRPr="00E1140D" w:rsidRDefault="00E1140D" w:rsidP="00E1140D">
      <w:r w:rsidRPr="00E1140D">
        <w:t xml:space="preserve">Добавлен SLA-IT-7 «Информационная безопасность» с тремя конкретными измеримыми показателями: время закрытия критической уязвимости — не более 7 дней с момента обнаружения, время реакции на инцидент безопасности — не более 1 часа для P1, </w:t>
      </w:r>
      <w:r w:rsidRPr="00E1140D">
        <w:lastRenderedPageBreak/>
        <w:t>периодичность аудита резервных копий — не реже 1 раза в месяц. Каждый показатель сформулирован как contractual SLA с последствием нарушения.</w:t>
      </w:r>
    </w:p>
    <w:p w14:paraId="1FB2653A" w14:textId="77777777" w:rsidR="00F6062B" w:rsidRDefault="00F6062B"/>
    <w:sectPr w:rsidR="00F60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2B"/>
    <w:rsid w:val="000A282B"/>
    <w:rsid w:val="00164C1F"/>
    <w:rsid w:val="00212FB1"/>
    <w:rsid w:val="003B59E1"/>
    <w:rsid w:val="00451027"/>
    <w:rsid w:val="00E1140D"/>
    <w:rsid w:val="00F15951"/>
    <w:rsid w:val="00F6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A5DC"/>
  <w15:chartTrackingRefBased/>
  <w15:docId w15:val="{108A9180-1EE0-4DFA-BBCA-8E0F6C78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6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6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6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6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0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</dc:creator>
  <cp:keywords/>
  <dc:description/>
  <cp:lastModifiedBy>Fyodor</cp:lastModifiedBy>
  <cp:revision>7</cp:revision>
  <dcterms:created xsi:type="dcterms:W3CDTF">2026-05-10T15:04:00Z</dcterms:created>
  <dcterms:modified xsi:type="dcterms:W3CDTF">2026-05-10T15:07:00Z</dcterms:modified>
</cp:coreProperties>
</file>