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Задание 3. Финальный скоринг (метрики, дашборд, алерты)</w:t>
      </w:r>
    </w:p>
    <w:p>
      <w:r>
        <w:t>Проект партнера: система надзора за городским пассажирским транспортом на базе 1С.</w:t>
      </w:r>
    </w:p>
    <w:p>
      <w:r>
        <w:t>Итоговая оценка: 82 из 104. Категория: хорошо.</w:t>
      </w:r>
    </w:p>
    <w:p>
      <w:pPr>
        <w:pStyle w:val="Heading1"/>
      </w:pPr>
      <w:r>
        <w:t>Блок 1. Ключевые метрики</w:t>
      </w:r>
    </w:p>
    <w:p>
      <w:r>
        <w:t>22 из 28.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Критерий</w:t>
            </w:r>
          </w:p>
        </w:tc>
        <w:tc>
          <w:tcPr>
            <w:tcW w:type="dxa" w:w="1728"/>
          </w:tcPr>
          <w:p>
            <w:r>
              <w:t>Вес</w:t>
            </w:r>
          </w:p>
        </w:tc>
        <w:tc>
          <w:tcPr>
            <w:tcW w:type="dxa" w:w="1728"/>
          </w:tcPr>
          <w:p>
            <w:r>
              <w:t>Балл</w:t>
            </w:r>
          </w:p>
        </w:tc>
        <w:tc>
          <w:tcPr>
            <w:tcW w:type="dxa" w:w="1728"/>
          </w:tcPr>
          <w:p>
            <w:r>
              <w:t>Итог</w:t>
            </w:r>
          </w:p>
        </w:tc>
        <w:tc>
          <w:tcPr>
            <w:tcW w:type="dxa" w:w="1728"/>
          </w:tcPr>
          <w:p>
            <w:r>
              <w:t>Обоснование</w:t>
            </w:r>
          </w:p>
        </w:tc>
      </w:tr>
      <w:tr>
        <w:tc>
          <w:tcPr>
            <w:tcW w:type="dxa" w:w="1728"/>
          </w:tcPr>
          <w:p>
            <w:r>
              <w:t>Выбор метрик (привязка к бизнесу)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Набор из четырех метрик узковат для транспортной системы; нет явной метрики по интеграции ГЛОНАСС/latency из SLA.</w:t>
            </w:r>
          </w:p>
        </w:tc>
      </w:tr>
      <w:tr>
        <w:tc>
          <w:tcPr>
            <w:tcW w:type="dxa" w:w="1728"/>
          </w:tcPr>
          <w:p>
            <w:r>
              <w:t>Описание метрик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Метрика «пользователи без потери производительности» не раскрывает измерение самой производительности.</w:t>
            </w:r>
          </w:p>
        </w:tc>
      </w:tr>
      <w:tr>
        <w:tc>
          <w:tcPr>
            <w:tcW w:type="dxa" w:w="1728"/>
          </w:tcPr>
          <w:p>
            <w:r>
              <w:t>Ценность метрик для бизнеса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Ценность для MTBF, экономии времени и жалоб прослеживается.</w:t>
            </w:r>
          </w:p>
        </w:tc>
      </w:tr>
      <w:tr>
        <w:tc>
          <w:tcPr>
            <w:tcW w:type="dxa" w:w="1728"/>
          </w:tcPr>
          <w:p>
            <w:r>
              <w:t>Разделение на группы (тех / процесс / бизнес)</w:t>
            </w:r>
          </w:p>
        </w:tc>
        <w:tc>
          <w:tcPr>
            <w:tcW w:type="dxa" w:w="1728"/>
          </w:tcPr>
          <w:p>
            <w:r>
              <w:t>×1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Группы указаны явно — сильная сторона.</w:t>
            </w:r>
          </w:p>
        </w:tc>
      </w:tr>
    </w:tbl>
    <w:p/>
    <w:p>
      <w:pPr>
        <w:pStyle w:val="Heading1"/>
      </w:pPr>
      <w:r>
        <w:t>Блок 2. Методика измерения</w:t>
      </w:r>
    </w:p>
    <w:p>
      <w:r>
        <w:t>20 из 24.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Критерий</w:t>
            </w:r>
          </w:p>
        </w:tc>
        <w:tc>
          <w:tcPr>
            <w:tcW w:type="dxa" w:w="1728"/>
          </w:tcPr>
          <w:p>
            <w:r>
              <w:t>Вес</w:t>
            </w:r>
          </w:p>
        </w:tc>
        <w:tc>
          <w:tcPr>
            <w:tcW w:type="dxa" w:w="1728"/>
          </w:tcPr>
          <w:p>
            <w:r>
              <w:t>Балл</w:t>
            </w:r>
          </w:p>
        </w:tc>
        <w:tc>
          <w:tcPr>
            <w:tcW w:type="dxa" w:w="1728"/>
          </w:tcPr>
          <w:p>
            <w:r>
              <w:t>Итог</w:t>
            </w:r>
          </w:p>
        </w:tc>
        <w:tc>
          <w:tcPr>
            <w:tcW w:type="dxa" w:w="1728"/>
          </w:tcPr>
          <w:p>
            <w:r>
              <w:t>Обоснование</w:t>
            </w:r>
          </w:p>
        </w:tc>
      </w:tr>
      <w:tr>
        <w:tc>
          <w:tcPr>
            <w:tcW w:type="dxa" w:w="1728"/>
          </w:tcPr>
          <w:p>
            <w:r>
              <w:t>Источники данных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Источники в целом указаны (журналы, регистры, опросы).</w:t>
            </w:r>
          </w:p>
        </w:tc>
      </w:tr>
      <w:tr>
        <w:tc>
          <w:tcPr>
            <w:tcW w:type="dxa" w:w="1728"/>
          </w:tcPr>
          <w:p>
            <w:r>
              <w:t>Формула / способ расчёта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Формулы есть для части метрик; по отдельным метрикам возможна некорректность или неполная согласованность с порогами.</w:t>
            </w:r>
          </w:p>
        </w:tc>
      </w:tr>
      <w:tr>
        <w:tc>
          <w:tcPr>
            <w:tcW w:type="dxa" w:w="1728"/>
          </w:tcPr>
          <w:p>
            <w:r>
              <w:t>Периодичность измерения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Периодичность указана; есть риск несогласованности горизонта нормы и частоты отчета/алерта (например, MTBF).</w:t>
            </w:r>
          </w:p>
        </w:tc>
      </w:tr>
    </w:tbl>
    <w:p/>
    <w:p>
      <w:pPr>
        <w:pStyle w:val="Heading1"/>
      </w:pPr>
      <w:r>
        <w:t>Блок 3. Дашборд</w:t>
      </w:r>
    </w:p>
    <w:p>
      <w:r>
        <w:t>16 из 20.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Критерий</w:t>
            </w:r>
          </w:p>
        </w:tc>
        <w:tc>
          <w:tcPr>
            <w:tcW w:type="dxa" w:w="1728"/>
          </w:tcPr>
          <w:p>
            <w:r>
              <w:t>Вес</w:t>
            </w:r>
          </w:p>
        </w:tc>
        <w:tc>
          <w:tcPr>
            <w:tcW w:type="dxa" w:w="1728"/>
          </w:tcPr>
          <w:p>
            <w:r>
              <w:t>Балл</w:t>
            </w:r>
          </w:p>
        </w:tc>
        <w:tc>
          <w:tcPr>
            <w:tcW w:type="dxa" w:w="1728"/>
          </w:tcPr>
          <w:p>
            <w:r>
              <w:t>Итог</w:t>
            </w:r>
          </w:p>
        </w:tc>
        <w:tc>
          <w:tcPr>
            <w:tcW w:type="dxa" w:w="1728"/>
          </w:tcPr>
          <w:p>
            <w:r>
              <w:t>Обоснование</w:t>
            </w:r>
          </w:p>
        </w:tc>
      </w:tr>
      <w:tr>
        <w:tc>
          <w:tcPr>
            <w:tcW w:type="dxa" w:w="1728"/>
          </w:tcPr>
          <w:p>
            <w:r>
              <w:t>Структура и группировка виджетов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Схема дашборда есть, группировка понятна.</w:t>
            </w:r>
          </w:p>
        </w:tc>
      </w:tr>
      <w:tr>
        <w:tc>
          <w:tcPr>
            <w:tcW w:type="dxa" w:w="1728"/>
          </w:tcPr>
          <w:p>
            <w:r>
              <w:t>Соответствие метрикам и аудитории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Один дашборд на две аудитории (техника и менеджмент) без разделения уровня детализации.</w:t>
            </w:r>
          </w:p>
        </w:tc>
      </w:tr>
      <w:tr>
        <w:tc>
          <w:tcPr>
            <w:tcW w:type="dxa" w:w="1728"/>
          </w:tcPr>
          <w:p>
            <w:r>
              <w:t>Виджеты и визуализации</w:t>
            </w:r>
          </w:p>
        </w:tc>
        <w:tc>
          <w:tcPr>
            <w:tcW w:type="dxa" w:w="1728"/>
          </w:tcPr>
          <w:p>
            <w:r>
              <w:t>×1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Набор виджетов адекватен описанию.</w:t>
            </w:r>
          </w:p>
        </w:tc>
      </w:tr>
    </w:tbl>
    <w:p/>
    <w:p>
      <w:pPr>
        <w:pStyle w:val="Heading1"/>
      </w:pPr>
      <w:r>
        <w:t>Блок 4. Пороги и алерты</w:t>
      </w:r>
    </w:p>
    <w:p>
      <w:r>
        <w:t>24 из 32.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Критерий</w:t>
            </w:r>
          </w:p>
        </w:tc>
        <w:tc>
          <w:tcPr>
            <w:tcW w:type="dxa" w:w="1728"/>
          </w:tcPr>
          <w:p>
            <w:r>
              <w:t>Вес</w:t>
            </w:r>
          </w:p>
        </w:tc>
        <w:tc>
          <w:tcPr>
            <w:tcW w:type="dxa" w:w="1728"/>
          </w:tcPr>
          <w:p>
            <w:r>
              <w:t>Балл</w:t>
            </w:r>
          </w:p>
        </w:tc>
        <w:tc>
          <w:tcPr>
            <w:tcW w:type="dxa" w:w="1728"/>
          </w:tcPr>
          <w:p>
            <w:r>
              <w:t>Итог</w:t>
            </w:r>
          </w:p>
        </w:tc>
        <w:tc>
          <w:tcPr>
            <w:tcW w:type="dxa" w:w="1728"/>
          </w:tcPr>
          <w:p>
            <w:r>
              <w:t>Обоснование</w:t>
            </w:r>
          </w:p>
        </w:tc>
      </w:tr>
      <w:tr>
        <w:tc>
          <w:tcPr>
            <w:tcW w:type="dxa" w:w="1728"/>
          </w:tcPr>
          <w:p>
            <w:r>
              <w:t>Наличие трёх уровней порогов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Норма / предупреждение / критический уровень заданы.</w:t>
            </w:r>
          </w:p>
        </w:tc>
      </w:tr>
      <w:tr>
        <w:tc>
          <w:tcPr>
            <w:tcW w:type="dxa" w:w="1728"/>
          </w:tcPr>
          <w:p>
            <w:r>
              <w:t>Корректность порогов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Часть порогов методологически слабая (например, счетчик пользователей как proxy производительности; разрывы диапазонов).</w:t>
            </w:r>
          </w:p>
        </w:tc>
      </w:tr>
      <w:tr>
        <w:tc>
          <w:tcPr>
            <w:tcW w:type="dxa" w:w="1728"/>
          </w:tcPr>
          <w:p>
            <w:r>
              <w:t>Описание алерта (канал, получатель)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Получатели иногда указаны; в основном это отчеты Excel/Word вместо немедленного оповещения и маршрутизации.</w:t>
            </w:r>
          </w:p>
        </w:tc>
      </w:tr>
      <w:tr>
        <w:tc>
          <w:tcPr>
            <w:tcW w:type="dxa" w:w="1728"/>
          </w:tcPr>
          <w:p>
            <w:r>
              <w:t>Ценность алертов</w:t>
            </w:r>
          </w:p>
        </w:tc>
        <w:tc>
          <w:tcPr>
            <w:tcW w:type="dxa" w:w="1728"/>
          </w:tcPr>
          <w:p>
            <w:r>
              <w:t>×2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Ценность местами смешана с обоснованием периодичности отчетности, а не снижением MTTR/рисков.</w:t>
            </w:r>
          </w:p>
        </w:tc>
      </w:tr>
    </w:tbl>
    <w:p/>
    <w:p>
      <w:pPr>
        <w:pStyle w:val="Heading1"/>
      </w:pPr>
      <w:r>
        <w:t>Итог по заданию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Раздел</w:t>
            </w:r>
          </w:p>
        </w:tc>
        <w:tc>
          <w:tcPr>
            <w:tcW w:type="dxa" w:w="2880"/>
          </w:tcPr>
          <w:p>
            <w:r>
              <w:t>Макс.</w:t>
            </w:r>
          </w:p>
        </w:tc>
        <w:tc>
          <w:tcPr>
            <w:tcW w:type="dxa" w:w="2880"/>
          </w:tcPr>
          <w:p>
            <w:r>
              <w:t>Балл</w:t>
            </w:r>
          </w:p>
        </w:tc>
      </w:tr>
      <w:tr>
        <w:tc>
          <w:tcPr>
            <w:tcW w:type="dxa" w:w="2880"/>
          </w:tcPr>
          <w:p>
            <w:r>
              <w:t>Ключевые метрики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22</w:t>
            </w:r>
          </w:p>
        </w:tc>
      </w:tr>
      <w:tr>
        <w:tc>
          <w:tcPr>
            <w:tcW w:type="dxa" w:w="2880"/>
          </w:tcPr>
          <w:p>
            <w:r>
              <w:t>Методика измерения</w:t>
            </w:r>
          </w:p>
        </w:tc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  <w:tr>
        <w:tc>
          <w:tcPr>
            <w:tcW w:type="dxa" w:w="2880"/>
          </w:tcPr>
          <w:p>
            <w:r>
              <w:t>Дашборд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16</w:t>
            </w:r>
          </w:p>
        </w:tc>
      </w:tr>
      <w:tr>
        <w:tc>
          <w:tcPr>
            <w:tcW w:type="dxa" w:w="2880"/>
          </w:tcPr>
          <w:p>
            <w:r>
              <w:t>Пороги и алерты</w:t>
            </w:r>
          </w:p>
        </w:tc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Всего</w:t>
            </w:r>
          </w:p>
        </w:tc>
        <w:tc>
          <w:tcPr>
            <w:tcW w:type="dxa" w:w="2880"/>
          </w:tcPr>
          <w:p>
            <w:r>
              <w:t>104</w:t>
            </w:r>
          </w:p>
        </w:tc>
        <w:tc>
          <w:tcPr>
            <w:tcW w:type="dxa" w:w="2880"/>
          </w:tcPr>
          <w:p>
            <w:r>
              <w:t>82</w:t>
            </w:r>
          </w:p>
        </w:tc>
      </w:tr>
    </w:tbl>
    <w:p/>
    <w:p>
      <w:pPr>
        <w:pStyle w:val="Heading1"/>
      </w:pPr>
      <w:r>
        <w:t>Сильные стороны</w:t>
      </w:r>
    </w:p>
    <w:p>
      <w:pPr>
        <w:pStyle w:val="ListBullet"/>
      </w:pPr>
      <w:r>
        <w:t>Явное разделение метрик на технические, процессные и бизнес-метрики.</w:t>
      </w:r>
    </w:p>
    <w:p>
      <w:pPr>
        <w:pStyle w:val="ListBullet"/>
      </w:pPr>
      <w:r>
        <w:t>MTBF как показатель стабильности для 1С.</w:t>
      </w:r>
    </w:p>
    <w:p>
      <w:pPr>
        <w:pStyle w:val="ListBullet"/>
      </w:pPr>
      <w:r>
        <w:t>Формула экономии времени с опорой на регистры.</w:t>
      </w:r>
    </w:p>
    <w:p>
      <w:pPr>
        <w:pStyle w:val="ListBullet"/>
      </w:pPr>
      <w:r>
        <w:t>Схема дашборда и блок алертов.</w:t>
      </w:r>
    </w:p>
    <w:p>
      <w:pPr>
        <w:pStyle w:val="Heading1"/>
      </w:pPr>
      <w:r>
        <w:t>Существенные замечания</w:t>
      </w:r>
    </w:p>
    <w:p>
      <w:pPr>
        <w:pStyle w:val="ListNumber"/>
      </w:pPr>
      <w:r>
        <w:t>Метрика одновременных пользователей не измеряет производительность.</w:t>
      </w:r>
    </w:p>
    <w:p>
      <w:pPr>
        <w:pStyle w:val="ListNumber"/>
      </w:pPr>
      <w:r>
        <w:t>Алерты в основном оформлены как периодические отчеты, а не немедленные сигналы.</w:t>
      </w:r>
    </w:p>
    <w:p>
      <w:pPr>
        <w:pStyle w:val="ListNumber"/>
      </w:pPr>
      <w:r>
        <w:t>Слабая маршрутизация: роль, канал, runbook, время реакции.</w:t>
      </w:r>
    </w:p>
    <w:p>
      <w:pPr>
        <w:pStyle w:val="ListNumber"/>
      </w:pPr>
      <w:r>
        <w:t>Пороги без опоры на baseline или SLA.</w:t>
      </w:r>
    </w:p>
    <w:p>
      <w:pPr>
        <w:pStyle w:val="ListNumber"/>
      </w:pPr>
      <w:r>
        <w:t>Недостаточно инфраструктурных и интеграционных метрик (ГЛОНАСС, ошибки синхронизации, latency БД).</w:t>
      </w:r>
    </w:p>
    <w:p>
      <w:pPr>
        <w:pStyle w:val="Heading1"/>
      </w:pPr>
      <w:r>
        <w:t>Рекомендации</w:t>
      </w:r>
    </w:p>
    <w:p>
      <w:pPr>
        <w:pStyle w:val="ListBullet"/>
      </w:pPr>
      <w:r>
        <w:t>P0: заменить метрику нагрузки на latency/throughput при заданном N пользователей.</w:t>
      </w:r>
    </w:p>
    <w:p>
      <w:pPr>
        <w:pStyle w:val="ListBullet"/>
      </w:pPr>
      <w:r>
        <w:t>P0: ввести реактивные алерты (мессенджер, on-call) при нарушении SLO.</w:t>
      </w:r>
    </w:p>
    <w:p>
      <w:pPr>
        <w:pStyle w:val="ListBullet"/>
      </w:pPr>
      <w:r>
        <w:t>P0: для каждого алерта — владелец, канал, эскалация, краткий runbook.</w:t>
      </w:r>
    </w:p>
    <w:p>
      <w:pPr>
        <w:pStyle w:val="ListBullet"/>
      </w:pPr>
      <w:r>
        <w:t>P1: добавить метрики потока данных ГЛОНАСС и качества синхронизации.</w:t>
      </w:r>
    </w:p>
    <w:p>
      <w:pPr>
        <w:pStyle w:val="ListBullet"/>
      </w:pPr>
      <w:r>
        <w:t>P1: разделить дашборды для операционной и управленческой аудитории.</w:t>
      </w:r>
    </w:p>
    <w:p>
      <w:pPr>
        <w:pStyle w:val="Heading1"/>
      </w:pPr>
      <w:r>
        <w:t>Потенциал</w:t>
      </w:r>
    </w:p>
    <w:p>
      <w:r>
        <w:t>После P0 — около 90/104. После P0+P1 — 94–96/104.</w:t>
      </w:r>
    </w:p>
    <w:p>
      <w:pPr>
        <w:pStyle w:val="Heading1"/>
      </w:pPr>
      <w:r>
        <w:t>Карта рисков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Низкое влияние</w:t>
            </w:r>
          </w:p>
        </w:tc>
        <w:tc>
          <w:tcPr>
            <w:tcW w:type="dxa" w:w="2160"/>
          </w:tcPr>
          <w:p>
            <w:r>
              <w:t>Среднее влияние</w:t>
            </w:r>
          </w:p>
        </w:tc>
        <w:tc>
          <w:tcPr>
            <w:tcW w:type="dxa" w:w="2160"/>
          </w:tcPr>
          <w:p>
            <w:r>
              <w:t>Высокое влияние</w:t>
            </w:r>
          </w:p>
        </w:tc>
      </w:tr>
      <w:tr>
        <w:tc>
          <w:tcPr>
            <w:tcW w:type="dxa" w:w="2160"/>
          </w:tcPr>
          <w:p>
            <w:r>
              <w:t>Высокая вероятность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Отчеты вместо алертов</w:t>
            </w:r>
          </w:p>
        </w:tc>
        <w:tc>
          <w:tcPr>
            <w:tcW w:type="dxa" w:w="2160"/>
          </w:tcPr>
          <w:p>
            <w:r>
              <w:t>Неверная метрика «производительности»</w:t>
            </w:r>
          </w:p>
        </w:tc>
      </w:tr>
      <w:tr>
        <w:tc>
          <w:tcPr>
            <w:tcW w:type="dxa" w:w="2160"/>
          </w:tcPr>
          <w:p>
            <w:r>
              <w:t>Средняя вероятность</w:t>
            </w:r>
          </w:p>
        </w:tc>
        <w:tc>
          <w:tcPr>
            <w:tcW w:type="dxa" w:w="2160"/>
          </w:tcPr>
          <w:p>
            <w:r>
              <w:t>Единый дашборд для всех</w:t>
            </w:r>
          </w:p>
        </w:tc>
        <w:tc>
          <w:tcPr>
            <w:tcW w:type="dxa" w:w="2160"/>
          </w:tcPr>
          <w:p>
            <w:r>
              <w:t>Пороги без baseline</w:t>
            </w:r>
          </w:p>
        </w:tc>
        <w:tc>
          <w:tcPr>
            <w:tcW w:type="dxa" w:w="2160"/>
          </w:tcPr>
          <w:p>
            <w:r>
              <w:t>Нет ключевых метрик интеграции</w:t>
            </w:r>
          </w:p>
        </w:tc>
      </w:tr>
      <w:tr>
        <w:tc>
          <w:tcPr>
            <w:tcW w:type="dxa" w:w="2160"/>
          </w:tcPr>
          <w:p>
            <w:r>
              <w:t>Низкая вероятность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MTBF без MTTR</w:t>
            </w:r>
          </w:p>
        </w:tc>
        <w:tc>
          <w:tcPr>
            <w:tcW w:type="dxa" w:w="2160"/>
          </w:tcPr>
          <w:p>
            <w:r>
              <w:t>Нет runbook на critical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