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Задание 4. Финальный скоринг (TCO, ROI, альтернативы)</w:t>
      </w:r>
    </w:p>
    <w:p>
      <w:r>
        <w:t>Проект партнера: система надзора за городским пассажирским транспортом на базе 1С.</w:t>
      </w:r>
    </w:p>
    <w:p>
      <w:r>
        <w:t>Итоговая оценка: 114 из 120. Категория: отлично.</w:t>
      </w:r>
    </w:p>
    <w:p>
      <w:r>
        <w:t>По диалогу сняты: критика расчета экономии ФОТ в логике «нет увольнения — нет денег» (субсидируемая модель, эффект через высвобождение времени); требование in-house разработки (нет штатных программистов); требование отдельной альтернативы SaaS (нет подходящего узкого SaaS). Баллы по прямым выгодам скорректированы вверх; часть рисков перенесена в TCO и альтернативы.</w:t>
      </w:r>
    </w:p>
    <w:p>
      <w:pPr>
        <w:pStyle w:val="Heading1"/>
      </w:pPr>
      <w:r>
        <w:t>Блок 1. Бизнес-контекст и IT-инициатива</w:t>
      </w:r>
    </w:p>
    <w:p>
      <w:r>
        <w:t>24 из 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Описание бизнес-проблемы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Проблема измерима, причинно-следственные связи ясны.</w:t>
            </w:r>
          </w:p>
        </w:tc>
      </w:tr>
      <w:tr>
        <w:tc>
          <w:tcPr>
            <w:tcW w:type="dxa" w:w="1728"/>
          </w:tcPr>
          <w:p>
            <w:r>
              <w:t>Формулировка бизнес-целей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Цели с метриками и управленческими решениями.</w:t>
            </w:r>
          </w:p>
        </w:tc>
      </w:tr>
      <w:tr>
        <w:tc>
          <w:tcPr>
            <w:tcW w:type="dxa" w:w="1728"/>
          </w:tcPr>
          <w:p>
            <w:r>
              <w:t>Описание IT-инициативы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Процессы «как сейчас → как будет», роли, гипотезы в нужном формате.</w:t>
            </w:r>
          </w:p>
        </w:tc>
      </w:tr>
    </w:tbl>
    <w:p/>
    <w:p>
      <w:pPr>
        <w:pStyle w:val="Heading1"/>
      </w:pPr>
      <w:r>
        <w:t>Блок 2. TCO</w:t>
      </w:r>
    </w:p>
    <w:p>
      <w:r>
        <w:t>28 из 32 (снижение за неполноту статей CAPEX/OPEX по внедрению).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Полнота единовременных затрат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Нет отдельных строк на тестирование/приемку, миграцию данных, СЗИ/DR как единовременные при необходимости.</w:t>
            </w:r>
          </w:p>
        </w:tc>
      </w:tr>
      <w:tr>
        <w:tc>
          <w:tcPr>
            <w:tcW w:type="dxa" w:w="1728"/>
          </w:tcPr>
          <w:p>
            <w:r>
              <w:t>Полнота операционных затрат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Операционные статьи покрыты в целом хорошо.</w:t>
            </w:r>
          </w:p>
        </w:tc>
      </w:tr>
      <w:tr>
        <w:tc>
          <w:tcPr>
            <w:tcW w:type="dxa" w:w="1728"/>
          </w:tcPr>
          <w:p>
            <w:r>
              <w:t>Источники и логика расчёта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Логика расчета прозрачна; часть ставок все еще требует ссылки на рынок.</w:t>
            </w:r>
          </w:p>
        </w:tc>
      </w:tr>
      <w:tr>
        <w:tc>
          <w:tcPr>
            <w:tcW w:type="dxa" w:w="1728"/>
          </w:tcPr>
          <w:p>
            <w:r>
              <w:t>Горизонт расчёта 3 года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Горизонт выдержан, таблица по годам есть.</w:t>
            </w:r>
          </w:p>
        </w:tc>
      </w:tr>
      <w:tr>
        <w:tc>
          <w:tcPr>
            <w:tcW w:type="dxa" w:w="1728"/>
          </w:tcPr>
          <w:p>
            <w:r>
              <w:t>Корректность сводного TCO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Арифметика согласована с представленными строками.</w:t>
            </w:r>
          </w:p>
        </w:tc>
      </w:tr>
    </w:tbl>
    <w:p/>
    <w:p>
      <w:pPr>
        <w:pStyle w:val="Heading1"/>
      </w:pPr>
      <w:r>
        <w:t>Блок 3. Выгоды (Benefits)</w:t>
      </w:r>
    </w:p>
    <w:p>
      <w:r>
        <w:t>24 из 24 (после снятия замечания по ФОТ прямые выгоды по времени/деньгам оцениваются без штрафа по логике увольнения).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Прямые выгоды: экономия / высвобождение времени (ФОТ-логика)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После диалога: расчет принят как оценка высвобожденного ресурса при субсидируемой модели; структура расчета детальная.</w:t>
            </w:r>
          </w:p>
        </w:tc>
      </w:tr>
      <w:tr>
        <w:tc>
          <w:tcPr>
            <w:tcW w:type="dxa" w:w="1728"/>
          </w:tcPr>
          <w:p>
            <w:r>
              <w:t>Прямые выгоды: снижение ошибок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Расчет корректен по форме; остается только риск несогласованности исходных объемов с другими разделами (см. замечания).</w:t>
            </w:r>
          </w:p>
        </w:tc>
      </w:tr>
      <w:tr>
        <w:tc>
          <w:tcPr>
            <w:tcW w:type="dxa" w:w="1728"/>
          </w:tcPr>
          <w:p>
            <w:r>
              <w:t>Косвенные выгоды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Косвенные выгоды описаны с методикой и связью с метриками; мелкие вопросы к базовым допущениям не снижают блок после диалога.</w:t>
            </w:r>
          </w:p>
        </w:tc>
      </w:tr>
    </w:tbl>
    <w:p/>
    <w:p>
      <w:pPr>
        <w:pStyle w:val="Heading1"/>
      </w:pPr>
      <w:r>
        <w:t>Блок 4. ROI и срок окупаемости</w:t>
      </w:r>
    </w:p>
    <w:p>
      <w:r>
        <w:t>20 из 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Формулы и расчёты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Формулы ROI и окупаемости показаны, расчеты прозрачны.</w:t>
            </w:r>
          </w:p>
        </w:tc>
      </w:tr>
      <w:tr>
        <w:tc>
          <w:tcPr>
            <w:tcW w:type="dxa" w:w="1728"/>
          </w:tcPr>
          <w:p>
            <w:r>
              <w:t>Динамика по годам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Динамика выгод и затрат по годам присутствует.</w:t>
            </w:r>
          </w:p>
        </w:tc>
      </w:tr>
      <w:tr>
        <w:tc>
          <w:tcPr>
            <w:tcW w:type="dxa" w:w="1728"/>
          </w:tcPr>
          <w:p>
            <w:r>
              <w:t>Анализ чувствительности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Sensitivity analysis присутствует, но охватывает только часть значимых драйверов (см. рекомендации).</w:t>
            </w:r>
          </w:p>
        </w:tc>
      </w:tr>
    </w:tbl>
    <w:p/>
    <w:p>
      <w:pPr>
        <w:pStyle w:val="Heading1"/>
      </w:pPr>
      <w:r>
        <w:t>Блок 5. Риски и допущения</w:t>
      </w:r>
    </w:p>
    <w:p>
      <w:r>
        <w:t>12 из 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Полнота допущений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Допущения перечислены и объясняют модель.</w:t>
            </w:r>
          </w:p>
        </w:tc>
      </w:tr>
      <w:tr>
        <w:tc>
          <w:tcPr>
            <w:tcW w:type="dxa" w:w="1728"/>
          </w:tcPr>
          <w:p>
            <w:r>
              <w:t>Полнота и реалистичность рисков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Риски с оценкой вероятности/влияния и мерами.</w:t>
            </w:r>
          </w:p>
        </w:tc>
      </w:tr>
    </w:tbl>
    <w:p/>
    <w:p>
      <w:pPr>
        <w:pStyle w:val="Heading1"/>
      </w:pPr>
      <w:r>
        <w:t>Блок 6. Альтернативы и финальное обоснование</w:t>
      </w:r>
    </w:p>
    <w:p>
      <w:r>
        <w:t>8 из 12 (in-house и SaaS не требуются по договоренности; остается укрупненность сравнения «купить готовое»).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Альтернатива «не внедрять»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Сравнение потерь и логика убедительны.</w:t>
            </w:r>
          </w:p>
        </w:tc>
      </w:tr>
      <w:tr>
        <w:tc>
          <w:tcPr>
            <w:tcW w:type="dxa" w:w="1728"/>
          </w:tcPr>
          <w:p>
            <w:r>
              <w:t>Альтернатива «купить готовое»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TCO-сравнение есть, но без названия конкретного продукта и без функциональной матрицы; после снятия SaaS/in-house фокус на этом недочете.</w:t>
            </w:r>
          </w:p>
        </w:tc>
      </w:tr>
    </w:tbl>
    <w:p/>
    <w:p>
      <w:pPr>
        <w:pStyle w:val="Heading1"/>
      </w:pPr>
      <w:r>
        <w:t>Итог по заданию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Макс.</w:t>
            </w:r>
          </w:p>
        </w:tc>
        <w:tc>
          <w:tcPr>
            <w:tcW w:type="dxa" w:w="2880"/>
          </w:tcPr>
          <w:p>
            <w:r>
              <w:t>Балл</w:t>
            </w:r>
          </w:p>
        </w:tc>
      </w:tr>
      <w:tr>
        <w:tc>
          <w:tcPr>
            <w:tcW w:type="dxa" w:w="2880"/>
          </w:tcPr>
          <w:p>
            <w:r>
              <w:t>Бизнес-контекст и IT-инициатива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TCO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Выгоды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ROI и окупаемость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Риски и допущения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Альтернативы и обоснование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114</w:t>
            </w:r>
          </w:p>
        </w:tc>
      </w:tr>
    </w:tbl>
    <w:p/>
    <w:p>
      <w:pPr>
        <w:pStyle w:val="Heading1"/>
      </w:pPr>
      <w:r>
        <w:t>Сильные стороны</w:t>
      </w:r>
    </w:p>
    <w:p>
      <w:pPr>
        <w:pStyle w:val="ListBullet"/>
      </w:pPr>
      <w:r>
        <w:t>Сильный бизнес-контекст и измеримые цели.</w:t>
      </w:r>
    </w:p>
    <w:p>
      <w:pPr>
        <w:pStyle w:val="ListBullet"/>
      </w:pPr>
      <w:r>
        <w:t>Прозрачная структура TCO на 3 года.</w:t>
      </w:r>
    </w:p>
    <w:p>
      <w:pPr>
        <w:pStyle w:val="ListBullet"/>
      </w:pPr>
      <w:r>
        <w:t>Детализированная модель прямых выгод (время операторов, консервативные коэффициенты).</w:t>
      </w:r>
    </w:p>
    <w:p>
      <w:pPr>
        <w:pStyle w:val="ListBullet"/>
      </w:pPr>
      <w:r>
        <w:t>Корректный управленческий язык ROI и окупаемости.</w:t>
      </w:r>
    </w:p>
    <w:p>
      <w:pPr>
        <w:pStyle w:val="ListBullet"/>
      </w:pPr>
      <w:r>
        <w:t>Наличие чувствительности и рисков.</w:t>
      </w:r>
    </w:p>
    <w:p>
      <w:pPr>
        <w:pStyle w:val="Heading1"/>
      </w:pPr>
      <w:r>
        <w:t>Существенные замечания (остались)</w:t>
      </w:r>
    </w:p>
    <w:p>
      <w:pPr>
        <w:pStyle w:val="ListNumber"/>
      </w:pPr>
      <w:r>
        <w:t>Неполнота TCO по статьям внедрения: тестирование, приемка, миграция, СЗИ/DR при необходимости.</w:t>
      </w:r>
    </w:p>
    <w:p>
      <w:pPr>
        <w:pStyle w:val="ListNumber"/>
      </w:pPr>
      <w:r>
        <w:t>Противоречие или нестыковка в исходных объемах операций между разделами (акты vs документы).</w:t>
      </w:r>
    </w:p>
    <w:p>
      <w:pPr>
        <w:pStyle w:val="ListNumber"/>
      </w:pPr>
      <w:r>
        <w:t>Не везде есть ссылки на источники цен (ставка разработчика, стоимость готового решения).</w:t>
      </w:r>
    </w:p>
    <w:p>
      <w:pPr>
        <w:pStyle w:val="ListNumber"/>
      </w:pPr>
      <w:r>
        <w:t>Альтернатива «купить готовое» без конкретного продукта и функционального сравнения.</w:t>
      </w:r>
    </w:p>
    <w:p>
      <w:pPr>
        <w:pStyle w:val="Heading1"/>
      </w:pPr>
      <w:r>
        <w:t>Рекомендации</w:t>
      </w:r>
    </w:p>
    <w:p>
      <w:pPr>
        <w:pStyle w:val="ListBullet"/>
      </w:pPr>
      <w:r>
        <w:t>P0: синхронизировать исходные объемы операций во всех расчетах.</w:t>
      </w:r>
    </w:p>
    <w:p>
      <w:pPr>
        <w:pStyle w:val="ListBullet"/>
      </w:pPr>
      <w:r>
        <w:t>P1: добавить в TCO строки тестирования, приемки и миграции.</w:t>
      </w:r>
    </w:p>
    <w:p>
      <w:pPr>
        <w:pStyle w:val="ListBullet"/>
      </w:pPr>
      <w:r>
        <w:t>P1: указать источники цен или диапазоны по рынку региона.</w:t>
      </w:r>
    </w:p>
    <w:p>
      <w:pPr>
        <w:pStyle w:val="ListBullet"/>
      </w:pPr>
      <w:r>
        <w:t>P1: расширить sensitivity analysis (OPEX, лицензии, объем актов).</w:t>
      </w:r>
    </w:p>
    <w:p>
      <w:pPr>
        <w:pStyle w:val="ListBullet"/>
      </w:pPr>
      <w:r>
        <w:t>P2: таблица функционального сравнения с выбранным готовым продуктом.</w:t>
      </w:r>
    </w:p>
    <w:p>
      <w:pPr>
        <w:pStyle w:val="Heading1"/>
      </w:pPr>
      <w:r>
        <w:t>Потенциал</w:t>
      </w:r>
    </w:p>
    <w:p>
      <w:r>
        <w:t>После P0 — около 117/120. После P1+P2 — до 120/120.</w:t>
      </w:r>
    </w:p>
    <w:p>
      <w:pPr>
        <w:pStyle w:val="Heading1"/>
      </w:pPr>
      <w:r>
        <w:t>Карта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Низкое влияние</w:t>
            </w:r>
          </w:p>
        </w:tc>
        <w:tc>
          <w:tcPr>
            <w:tcW w:type="dxa" w:w="2160"/>
          </w:tcPr>
          <w:p>
            <w:r>
              <w:t>Среднее влияние</w:t>
            </w:r>
          </w:p>
        </w:tc>
        <w:tc>
          <w:tcPr>
            <w:tcW w:type="dxa" w:w="2160"/>
          </w:tcPr>
          <w:p>
            <w:r>
              <w:t>Высокое влияние</w:t>
            </w:r>
          </w:p>
        </w:tc>
      </w:tr>
      <w:tr>
        <w:tc>
          <w:tcPr>
            <w:tcW w:type="dxa" w:w="2160"/>
          </w:tcPr>
          <w:p>
            <w:r>
              <w:t>Высокая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источников цен</w:t>
            </w:r>
          </w:p>
        </w:tc>
        <w:tc>
          <w:tcPr>
            <w:tcW w:type="dxa" w:w="2160"/>
          </w:tcPr>
          <w:p>
            <w:r>
              <w:t>Нестыковка объемов операций</w:t>
            </w:r>
          </w:p>
        </w:tc>
      </w:tr>
      <w:tr>
        <w:tc>
          <w:tcPr>
            <w:tcW w:type="dxa" w:w="2160"/>
          </w:tcPr>
          <w:p>
            <w:r>
              <w:t>Средняя вероятность</w:t>
            </w:r>
          </w:p>
        </w:tc>
        <w:tc>
          <w:tcPr>
            <w:tcW w:type="dxa" w:w="2160"/>
          </w:tcPr>
          <w:p>
            <w:r>
              <w:t>Нет строки тестирования в CAPEX</w:t>
            </w:r>
          </w:p>
        </w:tc>
        <w:tc>
          <w:tcPr>
            <w:tcW w:type="dxa" w:w="2160"/>
          </w:tcPr>
          <w:p>
            <w:r>
              <w:t>Укрупненное «купить готовое»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Низкая вероятность</w:t>
            </w:r>
          </w:p>
        </w:tc>
        <w:tc>
          <w:tcPr>
            <w:tcW w:type="dxa" w:w="2160"/>
          </w:tcPr>
          <w:p>
            <w:r>
              <w:t>Нет отдельной миграции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