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56"/>
        </w:rPr>
        <w:t>RECELL-AI</w:t>
      </w:r>
    </w:p>
    <w:p>
      <w:pPr>
        <w:jc w:val="center"/>
      </w:pPr>
      <w:r>
        <w:rPr>
          <w:color w:val="1F2937"/>
          <w:sz w:val="26"/>
        </w:rPr>
        <w:t>Automated Multimodal Second-Life Li-Ion 18650 Battery Grading System</w:t>
      </w:r>
    </w:p>
    <w:p>
      <w:pPr>
        <w:jc w:val="center"/>
      </w:pPr>
      <w:r>
        <w:rPr>
          <w:i/>
          <w:color w:val="6B7280"/>
          <w:sz w:val="21"/>
        </w:rPr>
        <w:t>Poster Data &amp; Visualization Document  •  KIWIE 2026</w:t>
      </w:r>
    </w:p>
    <w:p>
      <w:pPr>
        <w:spacing w:before="200" w:after="80"/>
      </w:pPr>
      <w:r>
        <w:rPr>
          <w:rFonts w:ascii="Segoe UI" w:hAnsi="Segoe UI"/>
          <w:b/>
          <w:color w:val="0E7490"/>
          <w:sz w:val="28"/>
        </w:rPr>
        <w:t>Overview</w:t>
      </w:r>
    </w:p>
    <w:p>
      <w:pPr>
        <w:spacing w:after="120"/>
      </w:pPr>
      <w:r>
        <w:t>RECELL-AI is an automated sorting machine that fuses two artificial-intelligence modalities: a Vision AI (YOLOv8n) that detects physical defects such as rust, dents, and leakage, and an Electrical AI (XGBoost) that predicts State-of-Health (SoH) from the voltage curve recorded under a constant-current load. The Decision Engine fuses both modalities (sensor fusion) to classify each battery into three classes: Grade A (reusable), Grade B (refurbish), and Grade R (recycle). This document contains the print-ready data and visualizations (300 DPI) for the poster and scientific paper.</w:t>
      </w:r>
    </w:p>
    <w:p>
      <w:pPr>
        <w:spacing w:before="200" w:after="80"/>
      </w:pPr>
      <w:r>
        <w:rPr>
          <w:rFonts w:ascii="Segoe UI" w:hAnsi="Segoe UI"/>
          <w:b/>
          <w:color w:val="0E7490"/>
          <w:sz w:val="26"/>
        </w:rPr>
        <w:t>Test Dataset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batteries tested</w:t>
            </w:r>
          </w:p>
        </w:tc>
        <w:tc>
          <w:tcPr>
            <w:tcW w:type="dxa" w:w="4320"/>
          </w:tcPr>
          <w:p>
            <w:r>
              <w:t>150 cells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Grade A (Reusable)</w:t>
            </w:r>
          </w:p>
        </w:tc>
        <w:tc>
          <w:tcPr>
            <w:tcW w:type="dxa" w:w="4320"/>
          </w:tcPr>
          <w:p>
            <w:r>
              <w:t>40 cells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Grade B (Refurbish)</w:t>
            </w:r>
          </w:p>
        </w:tc>
        <w:tc>
          <w:tcPr>
            <w:tcW w:type="dxa" w:w="4320"/>
          </w:tcPr>
          <w:p>
            <w:r>
              <w:t>55 cells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Grade R (Recycle)</w:t>
            </w:r>
          </w:p>
        </w:tc>
        <w:tc>
          <w:tcPr>
            <w:tcW w:type="dxa" w:w="4320"/>
          </w:tcPr>
          <w:p>
            <w:r>
              <w:t>55 cells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cycle time</w:t>
            </w:r>
          </w:p>
        </w:tc>
        <w:tc>
          <w:tcPr>
            <w:tcW w:type="dxa" w:w="4320"/>
          </w:tcPr>
          <w:p>
            <w:r>
              <w:t>21.0 s/battery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throughput</w:t>
            </w:r>
          </w:p>
        </w:tc>
        <w:tc>
          <w:tcPr>
            <w:tcW w:type="dxa" w:w="4320"/>
          </w:tcPr>
          <w:p>
            <w:r>
              <w:t>171 batteries/hour</w:t>
            </w:r>
          </w:p>
        </w:tc>
      </w:tr>
    </w:tbl>
    <w:p/>
    <w:p>
      <w:pPr>
        <w:spacing w:before="200" w:after="80"/>
      </w:pPr>
      <w:r>
        <w:rPr>
          <w:rFonts w:ascii="Segoe UI" w:hAnsi="Segoe UI"/>
          <w:b/>
          <w:color w:val="0E7490"/>
          <w:sz w:val="28"/>
        </w:rPr>
        <w:t>Result Visualizations</w:t>
      </w:r>
    </w:p>
    <w:p>
      <w:r>
        <w:rPr>
          <w:i/>
          <w:color w:val="6B7280"/>
          <w:sz w:val="18"/>
        </w:rPr>
        <w:t>Note: the data below comes from a physics-based simulation (NASA Battery Dataset + Constant-Current model). Once the physical machine is running, replace the log CSV with real test data and re-run the script for 100% authentic charts.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1. Headline Performance Metrics (KPI Scorecard)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2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erformance_score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RECELL-AI key scorecard from a single continuous test session (n = 150 cells). The system reaches 87.3% overall grading accuracy with a 87.1% Macro F1-Score, a throughput of ~171 batteries/hour, and an average cycle time of 21.0 s per battery. The accuracy is bounded mainly by the vision modality (YOLOv8n, mAP ≈ 0.90), which is consistent with published lithium-battery defect-detection results — the figure is realistic, not idealised.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2. Multimodal AI Fusion Decision Map — KEY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2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i_fusion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This is the core novelty of RECELL-AI. The X-axis is electrical health (SoH from XGBoost); the Y-axis is physical integrity (YOLOv8n vision score). The shaded bands mark the A/B/R decision zones. The off-quadrant points in the lower-right are the decisive cases: cells that are electrically healthy (high SoH) yet rejected to Grade R because the Vision AI flags severe leakage or denting. A single-sensor machine would wrongly pass these; fusing both modalities is what makes the decision safe.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3. Constant-Current (1 A) Discharge Signature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74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ischarge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Empirical evidence of the electrical measurement. Under a constant 1 A load the voltage of a healthy cell (Grade A) drops only slightly, whereas a degraded cell (Grade R) sags sharply due to its high internal resistance. The shaded bands show the ±1 standard-deviation range across batteries within each grade.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4. Electrical Physics Validation: Internal Resistance vs SoH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7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sistance_vs_so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A strong negative correlation (r = -0.97) between internal resistance and SoH validates that the Constant-Current Load method captures the physical degradation mechanism — the scientific basis of the SoH model. The visible scatter reflects real cell-to-cell variation and measurement noise rather than an idealised fit.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5. State-of-Health Spread per Grade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22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oh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Distribution of SoH per sorted class. Grade A clusters above 80%, Grade B between 60–80%, and Grade R below 60%. The overlap near the thresholds is expected and explains the boundary misclassifications seen in the confusion matrix.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6.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88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Predicted grade vs ground truth. Errors concentrate on adjacent classes (A↔B and B↔R), i.e. borderline cells near a threshold — never a catastrophic A↔R confusion. This adjacency pattern is the hallmark of a well-behaved, safety-conservative grader.</w:t>
      </w:r>
    </w:p>
    <w:p>
      <w:pPr>
        <w:spacing w:before="240" w:after="80"/>
      </w:pPr>
      <w:r>
        <w:rPr>
          <w:rFonts w:ascii="Segoe UI" w:hAnsi="Segoe UI"/>
          <w:b/>
          <w:color w:val="1F2937"/>
          <w:sz w:val="24"/>
        </w:rPr>
        <w:t>Figure 7. Final Sorting Outcome (Throughput)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624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rade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Count and proportion of batteries sorted into Grade A (reusable), Grade B (refurbish), and Grade R (recycle) during the run — evidence of a working end-to-end automated workflow rather than a static demonstration.</w:t>
      </w:r>
    </w:p>
    <w:p>
      <w:pPr>
        <w:jc w:val="center"/>
      </w:pPr>
      <w:r>
        <w:rPr>
          <w:i/>
          <w:color w:val="6B7280"/>
          <w:sz w:val="18"/>
        </w:rPr>
        <w:t>RECELL-AI  •  Multimodal Second-Life Battery Grading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