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of Invention</w:t>
        <w:br w:type="textWrapping"/>
      </w:r>
      <w:r w:rsidDel="00000000" w:rsidR="00000000" w:rsidRPr="00000000">
        <w:rPr>
          <w:rtl w:val="0"/>
        </w:rPr>
        <w:t xml:space="preserve"> ReCell  is a fully automated second-life battery grading machine that fuses embedded electrical analysis (Constant Current Load) with edge AI-powered visual inspection. Driven by a robust architecture, it utilizes an STM32 microcontroller for precise sensor acquisition and motion control, seamlessly integrated with an NVIDIA Jetson Orin Nano for real-time computer vision. The system comprehensively evaluates the State of Health (SoH) and detects physical anomalies such as rust or dents. Ultimately, it autonomously categorizes 18650 Li-Ion batteries into definitive reusable grades and provides actionable recycling recommendations for end-of-life cells using a precision stepper-motor sorting mechanism, delivering a highly reliable and decentralized solution for electronic waste management.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Abstract of Invention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rapid transition towards electric vehicles and renewable energy has escalated the global urgency for second-life Li-ion battery utilization. However, existing recycling infrastructures remain severely limited, relying heavily on manual, time-consuming sorting methods that are prone to human error and pose critical safety risks. ReCell AI introduces a fully automated, dual-inspection grading system designed to accelerate the circular economy. By fusing real-time electrical parameter data measured via a Constant Current Load method with advanced computer vision algorithms running on an edge AI processor, the system conducts a holistic State of Health (SoH) and physical integrity assessment. T</w:t>
      </w:r>
      <w:r w:rsidDel="00000000" w:rsidR="00000000" w:rsidRPr="00000000">
        <w:rPr>
          <w:rtl w:val="0"/>
        </w:rPr>
        <w:t xml:space="preserve">esting demonstrates high-precision electrical parameter acquisition and robust AI-driven visual detection, ensuring reliable identification of complex anomalies.</w:t>
      </w:r>
      <w:r w:rsidDel="00000000" w:rsidR="00000000" w:rsidRPr="00000000">
        <w:rPr>
          <w:rtl w:val="0"/>
        </w:rPr>
        <w:t xml:space="preserve"> It intelligently detects both internal electrical degradation and visible physical anomalies that traditional multimeters miss. The integrated microcontroller and AI architecture dictate a precision mechanical sorting process, categorizing batteries safely into reusable grades or generating targeted recycling recommendations for severely degraded cells. This compact, cost-effective solution is highly scalable, effectively bridging the critical gap in modern battery recycling ecosystems.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