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C59F9" w14:textId="77777777" w:rsidR="00F169A0" w:rsidRPr="00F53F37" w:rsidRDefault="00F63BEE">
      <w:pPr>
        <w:rPr>
          <w:b/>
        </w:rPr>
      </w:pPr>
      <w:r w:rsidRPr="00F53F37">
        <w:rPr>
          <w:b/>
        </w:rPr>
        <w:t xml:space="preserve">Clases 1 y 2 </w:t>
      </w:r>
    </w:p>
    <w:p w14:paraId="62E49180" w14:textId="77777777" w:rsidR="00F63BEE" w:rsidRPr="00131BA8" w:rsidRDefault="00F63BEE">
      <w:pPr>
        <w:rPr>
          <w:b/>
          <w:sz w:val="24"/>
          <w:szCs w:val="24"/>
          <w:u w:val="single"/>
        </w:rPr>
      </w:pPr>
      <w:r w:rsidRPr="00131BA8">
        <w:rPr>
          <w:b/>
          <w:sz w:val="24"/>
          <w:szCs w:val="24"/>
          <w:u w:val="single"/>
        </w:rPr>
        <w:t>Consignas:</w:t>
      </w:r>
    </w:p>
    <w:p w14:paraId="03CA2D79" w14:textId="77777777" w:rsidR="00131BA8" w:rsidRDefault="00F63BEE">
      <w:r>
        <w:t xml:space="preserve">A partir de la lectura de los siguientes textos, se les solicita que intervengan en el foro </w:t>
      </w:r>
      <w:r w:rsidR="00131BA8">
        <w:t>(de</w:t>
      </w:r>
      <w:r>
        <w:t xml:space="preserve"> manera grupal: interviene un integrante y menciona a su grupo) y desarrollen:</w:t>
      </w:r>
      <w:r>
        <w:br/>
      </w:r>
      <w:r w:rsidRPr="00131BA8">
        <w:rPr>
          <w:sz w:val="24"/>
          <w:szCs w:val="24"/>
        </w:rPr>
        <w:t xml:space="preserve">1- </w:t>
      </w:r>
      <w:r w:rsidRPr="00131BA8">
        <w:rPr>
          <w:b/>
          <w:bCs/>
          <w:sz w:val="24"/>
          <w:szCs w:val="24"/>
        </w:rPr>
        <w:t>Jacinto</w:t>
      </w:r>
      <w:r w:rsidRPr="00131BA8">
        <w:rPr>
          <w:sz w:val="24"/>
          <w:szCs w:val="24"/>
        </w:rPr>
        <w:t xml:space="preserve"> (2018) </w:t>
      </w:r>
    </w:p>
    <w:p w14:paraId="64075B2C" w14:textId="16606B48" w:rsidR="00131BA8" w:rsidRDefault="00F63BEE" w:rsidP="001C489C">
      <w:r>
        <w:t>La formación para el trabajo en la escuela secundaria como reflexión crítica y como recurso</w:t>
      </w:r>
      <w:r w:rsidR="00842264">
        <w:t xml:space="preserve"> </w:t>
      </w:r>
      <w:r w:rsidR="00555D54">
        <w:t xml:space="preserve">en </w:t>
      </w:r>
      <w:r w:rsidR="00131BA8" w:rsidRPr="001C489C">
        <w:rPr>
          <w:i/>
        </w:rPr>
        <w:t>c</w:t>
      </w:r>
      <w:r w:rsidR="00555D54" w:rsidRPr="001C489C">
        <w:rPr>
          <w:i/>
        </w:rPr>
        <w:t>onversaciones en la escuela secundaria</w:t>
      </w:r>
      <w:r w:rsidR="00131BA8" w:rsidRPr="001C489C">
        <w:rPr>
          <w:i/>
        </w:rPr>
        <w:t>.</w:t>
      </w:r>
      <w:r w:rsidR="00555D54">
        <w:t xml:space="preserve"> </w:t>
      </w:r>
      <w:r w:rsidR="00555D54" w:rsidRPr="00555D54">
        <w:t>(</w:t>
      </w:r>
      <w:r w:rsidR="00131BA8" w:rsidRPr="00555D54">
        <w:t>p</w:t>
      </w:r>
      <w:r w:rsidR="00131BA8">
        <w:t>ág.</w:t>
      </w:r>
      <w:r w:rsidR="00555D54" w:rsidRPr="00555D54">
        <w:t xml:space="preserve"> 73-109)</w:t>
      </w:r>
    </w:p>
    <w:p w14:paraId="2905FAF3" w14:textId="77777777" w:rsidR="001C489C" w:rsidRDefault="00842264" w:rsidP="00131BA8">
      <w:pPr>
        <w:pStyle w:val="Prrafodelista"/>
        <w:numPr>
          <w:ilvl w:val="0"/>
          <w:numId w:val="1"/>
        </w:numPr>
      </w:pPr>
      <w:r>
        <w:t xml:space="preserve">Reflexiones de la autora acerca del mundo del trabajo en que se insertan los jóvenes y sus relaciones con el trabajo; </w:t>
      </w:r>
    </w:p>
    <w:p w14:paraId="6F9D623A" w14:textId="77777777" w:rsidR="001C489C" w:rsidRDefault="00842264" w:rsidP="00131BA8">
      <w:pPr>
        <w:pStyle w:val="Prrafodelista"/>
        <w:numPr>
          <w:ilvl w:val="0"/>
          <w:numId w:val="1"/>
        </w:numPr>
      </w:pPr>
      <w:r>
        <w:t xml:space="preserve">saberes generales </w:t>
      </w:r>
      <w:r w:rsidR="00555D54">
        <w:t>s</w:t>
      </w:r>
      <w:r>
        <w:t xml:space="preserve">obre el trabajo en la escuela; </w:t>
      </w:r>
    </w:p>
    <w:p w14:paraId="4FC21EFA" w14:textId="65790ABA" w:rsidR="00842264" w:rsidRDefault="00842264" w:rsidP="00131BA8">
      <w:pPr>
        <w:pStyle w:val="Prrafodelista"/>
        <w:numPr>
          <w:ilvl w:val="0"/>
          <w:numId w:val="1"/>
        </w:numPr>
      </w:pPr>
      <w:r>
        <w:t>dispositivos específicos de acercamiento al mundo del trabajo en las escuelas secundarias</w:t>
      </w:r>
      <w:r w:rsidR="00131BA8">
        <w:t>.</w:t>
      </w:r>
    </w:p>
    <w:p w14:paraId="3F8EB2DD" w14:textId="1CF68315" w:rsidR="001824B3" w:rsidRDefault="001824B3" w:rsidP="001824B3">
      <w:r w:rsidRPr="001824B3">
        <w:rPr>
          <w:i/>
          <w:iCs/>
        </w:rPr>
        <w:t>“muchos de los propios ex alumnos eran profesores sin experiencia en el mundo laboral para el que formaban, según señala tanto Gallart como Spinosa y Testa.”</w:t>
      </w:r>
    </w:p>
    <w:p w14:paraId="563BE8A5" w14:textId="458CB2B5" w:rsidR="00131BA8" w:rsidRDefault="00842264">
      <w:r w:rsidRPr="00131BA8">
        <w:rPr>
          <w:sz w:val="24"/>
          <w:szCs w:val="24"/>
        </w:rPr>
        <w:t>2-</w:t>
      </w:r>
      <w:r w:rsidR="00131BA8">
        <w:rPr>
          <w:sz w:val="24"/>
          <w:szCs w:val="24"/>
        </w:rPr>
        <w:t xml:space="preserve"> </w:t>
      </w:r>
      <w:r w:rsidRPr="00131BA8">
        <w:rPr>
          <w:b/>
          <w:bCs/>
          <w:sz w:val="24"/>
          <w:szCs w:val="24"/>
        </w:rPr>
        <w:t>Martinez y Garino</w:t>
      </w:r>
      <w:r w:rsidRPr="00131BA8">
        <w:rPr>
          <w:sz w:val="24"/>
          <w:szCs w:val="24"/>
        </w:rPr>
        <w:t xml:space="preserve"> (2013) </w:t>
      </w:r>
    </w:p>
    <w:p w14:paraId="652B395B" w14:textId="1FEDA198" w:rsidR="00842264" w:rsidRDefault="00842264">
      <w:r>
        <w:t xml:space="preserve">Investigaciones en la escuela secundaria: Política y trabajo. </w:t>
      </w:r>
      <w:r w:rsidR="00131BA8" w:rsidRPr="00555D54">
        <w:t>(p</w:t>
      </w:r>
      <w:r w:rsidR="00131BA8">
        <w:t>ág.</w:t>
      </w:r>
      <w:r w:rsidR="00131BA8" w:rsidRPr="00555D54">
        <w:t xml:space="preserve"> </w:t>
      </w:r>
      <w:r>
        <w:t xml:space="preserve"> 47-67</w:t>
      </w:r>
      <w:r w:rsidR="00131BA8">
        <w:t>)</w:t>
      </w:r>
    </w:p>
    <w:p w14:paraId="431B20A1" w14:textId="4794507C" w:rsidR="00842264" w:rsidRDefault="00842264" w:rsidP="00933EE6">
      <w:r w:rsidRPr="00933EE6">
        <w:rPr>
          <w:b/>
          <w:bCs/>
          <w:sz w:val="24"/>
          <w:szCs w:val="24"/>
        </w:rPr>
        <w:t>¿Qué interrogantes se plantean las autoras al pensar la posible vinculación entre la escuela y el mundo del trabajo?</w:t>
      </w:r>
      <w:r w:rsidRPr="00933EE6">
        <w:rPr>
          <w:sz w:val="24"/>
          <w:szCs w:val="24"/>
        </w:rPr>
        <w:t xml:space="preserve"> </w:t>
      </w:r>
    </w:p>
    <w:p w14:paraId="4F966174" w14:textId="77777777" w:rsidR="00933EE6" w:rsidRDefault="00933EE6" w:rsidP="00933EE6">
      <w:pPr>
        <w:spacing w:after="0"/>
      </w:pPr>
      <w:r>
        <w:t>¿Es pertinente que el sistema educativo se plantee la situación de los jóvenes en relación</w:t>
      </w:r>
      <w:r>
        <w:t xml:space="preserve"> </w:t>
      </w:r>
      <w:r>
        <w:t xml:space="preserve">a su inserción en el mercado laboral como un problema? </w:t>
      </w:r>
    </w:p>
    <w:p w14:paraId="5445BF5B" w14:textId="77777777" w:rsidR="00933EE6" w:rsidRDefault="00933EE6" w:rsidP="00933EE6">
      <w:pPr>
        <w:spacing w:after="0"/>
      </w:pPr>
      <w:r>
        <w:t xml:space="preserve">¿Es posible alguna articulación entre </w:t>
      </w:r>
      <w:r>
        <w:t>e</w:t>
      </w:r>
      <w:r>
        <w:t>ducación secundaria y trabajo,</w:t>
      </w:r>
      <w:r>
        <w:t xml:space="preserve"> </w:t>
      </w:r>
      <w:r>
        <w:t xml:space="preserve">hoy? </w:t>
      </w:r>
    </w:p>
    <w:p w14:paraId="2A729D55" w14:textId="01F221D5" w:rsidR="00933EE6" w:rsidRDefault="00933EE6" w:rsidP="00933EE6">
      <w:pPr>
        <w:spacing w:after="0"/>
      </w:pPr>
      <w:r>
        <w:t>¿Cuáles serían los roles posibles de la escuela secundaria</w:t>
      </w:r>
      <w:r>
        <w:t xml:space="preserve"> </w:t>
      </w:r>
      <w:r>
        <w:t>ante esta situación de los jóvenes? ¿Cómo ha sido la articulación</w:t>
      </w:r>
      <w:r>
        <w:t xml:space="preserve"> </w:t>
      </w:r>
      <w:r>
        <w:t>entre educación y trabajo en distintos momentos históricos en</w:t>
      </w:r>
      <w:r>
        <w:t xml:space="preserve"> </w:t>
      </w:r>
      <w:r>
        <w:t xml:space="preserve">la </w:t>
      </w:r>
      <w:bookmarkStart w:id="0" w:name="_Hlk52187006"/>
      <w:r>
        <w:t>Argentina</w:t>
      </w:r>
      <w:bookmarkEnd w:id="0"/>
      <w:r>
        <w:t>?</w:t>
      </w:r>
      <w:r>
        <w:t xml:space="preserve"> </w:t>
      </w:r>
    </w:p>
    <w:p w14:paraId="410890EA" w14:textId="77777777" w:rsidR="00933EE6" w:rsidRPr="00933EE6" w:rsidRDefault="00933EE6" w:rsidP="00933EE6">
      <w:pPr>
        <w:spacing w:after="0"/>
        <w:rPr>
          <w:b/>
          <w:bCs/>
          <w:sz w:val="24"/>
          <w:szCs w:val="24"/>
        </w:rPr>
      </w:pPr>
    </w:p>
    <w:p w14:paraId="10328014" w14:textId="5F6BDCB5" w:rsidR="00933EE6" w:rsidRDefault="00933EE6" w:rsidP="00933EE6">
      <w:pPr>
        <w:rPr>
          <w:b/>
          <w:bCs/>
          <w:sz w:val="24"/>
          <w:szCs w:val="24"/>
        </w:rPr>
      </w:pPr>
      <w:r w:rsidRPr="00933EE6">
        <w:rPr>
          <w:b/>
          <w:bCs/>
          <w:sz w:val="24"/>
          <w:szCs w:val="24"/>
        </w:rPr>
        <w:t xml:space="preserve">¿Cuál es el desafío que esta articulación plantea mirando el momento actual? </w:t>
      </w:r>
    </w:p>
    <w:p w14:paraId="7DB952F5" w14:textId="25EFB3E2" w:rsidR="00594071" w:rsidRDefault="00594071" w:rsidP="00933EE6">
      <w:r>
        <w:t xml:space="preserve">El desafío es </w:t>
      </w:r>
      <w:r w:rsidRPr="00A870A0">
        <w:rPr>
          <w:i/>
          <w:iCs/>
        </w:rPr>
        <w:t>regular e independizar</w:t>
      </w:r>
      <w:r>
        <w:t xml:space="preserve"> la articulación entre la escuela secundaria y el trabajo, y que esto no dependa del gobierno de turno.</w:t>
      </w:r>
    </w:p>
    <w:p w14:paraId="77D49D72" w14:textId="654DADCA" w:rsidR="00594071" w:rsidRDefault="00594071" w:rsidP="00A870A0">
      <w:pPr>
        <w:spacing w:after="0"/>
      </w:pPr>
      <w:r>
        <w:t xml:space="preserve">Otro desafío </w:t>
      </w:r>
      <w:r w:rsidR="00A870A0">
        <w:t xml:space="preserve">sería cómo </w:t>
      </w:r>
      <w:r w:rsidR="00A870A0" w:rsidRPr="00A870A0">
        <w:rPr>
          <w:i/>
          <w:iCs/>
        </w:rPr>
        <w:t>“implementar”</w:t>
      </w:r>
      <w:r w:rsidR="00A870A0">
        <w:t xml:space="preserve"> las leyes existentes que promueven dicha vinculación, por ejemplo: “pasantías” y “prácticas profesionalizantes” mas allá de lo escrito en la ley. </w:t>
      </w:r>
      <w:r w:rsidR="00A870A0">
        <w:t>¿E</w:t>
      </w:r>
      <w:r w:rsidR="00A870A0">
        <w:t>xisten en todas las instituciones las mismas posibilidades de implementarlas</w:t>
      </w:r>
      <w:r w:rsidR="00A870A0">
        <w:t>?</w:t>
      </w:r>
      <w:r w:rsidR="00A870A0" w:rsidRPr="00A870A0">
        <w:t xml:space="preserve"> </w:t>
      </w:r>
      <w:r w:rsidR="00A870A0">
        <w:t>¿</w:t>
      </w:r>
      <w:r w:rsidR="00A870A0">
        <w:t>A las empresas de cada región les interesa incluir esta modalidad</w:t>
      </w:r>
      <w:r w:rsidR="00A870A0">
        <w:t>?</w:t>
      </w:r>
      <w:r w:rsidR="00A870A0" w:rsidRPr="00A870A0">
        <w:t xml:space="preserve"> </w:t>
      </w:r>
      <w:r w:rsidR="00A870A0">
        <w:t>¿</w:t>
      </w:r>
      <w:r w:rsidR="00A870A0">
        <w:t>El contexto es el adecuado para lograr estos desafíos</w:t>
      </w:r>
      <w:r w:rsidR="00A870A0">
        <w:t>?</w:t>
      </w:r>
      <w:r w:rsidR="00A870A0" w:rsidRPr="00A870A0">
        <w:t xml:space="preserve"> </w:t>
      </w:r>
    </w:p>
    <w:p w14:paraId="7010FD8A" w14:textId="77777777" w:rsidR="00A870A0" w:rsidRDefault="00A870A0" w:rsidP="00A870A0">
      <w:pPr>
        <w:spacing w:after="0"/>
        <w:rPr>
          <w:b/>
          <w:bCs/>
          <w:sz w:val="24"/>
          <w:szCs w:val="24"/>
        </w:rPr>
      </w:pPr>
    </w:p>
    <w:p w14:paraId="77D70D9F" w14:textId="2055F721" w:rsidR="00933EE6" w:rsidRDefault="00933EE6" w:rsidP="00594071">
      <w:r w:rsidRPr="00933EE6">
        <w:rPr>
          <w:b/>
          <w:bCs/>
          <w:sz w:val="24"/>
          <w:szCs w:val="24"/>
        </w:rPr>
        <w:t>Ubicar períodos históricos y sentidos de la escuela y el mundo del trabajo en su articulación.</w:t>
      </w:r>
    </w:p>
    <w:p w14:paraId="3889A6CA" w14:textId="0797168A" w:rsidR="00391E9B" w:rsidRDefault="00391E9B" w:rsidP="00933EE6">
      <w:r w:rsidRPr="00A870A0">
        <w:rPr>
          <w:b/>
          <w:bCs/>
          <w:u w:val="single"/>
        </w:rPr>
        <w:t>Primer periodo</w:t>
      </w:r>
      <w:r w:rsidRPr="00A870A0">
        <w:rPr>
          <w:b/>
          <w:bCs/>
        </w:rPr>
        <w:t>:</w:t>
      </w:r>
      <w:r w:rsidRPr="00A870A0">
        <w:t xml:space="preserve"> </w:t>
      </w:r>
      <w:r>
        <w:t xml:space="preserve">1880-1930 </w:t>
      </w:r>
      <w:r w:rsidR="00933EE6">
        <w:t>(Denominada “Formación para el trabajo”)</w:t>
      </w:r>
    </w:p>
    <w:p w14:paraId="322F9D0A" w14:textId="27483524" w:rsidR="00391E9B" w:rsidRDefault="00391E9B" w:rsidP="00391E9B">
      <w:r w:rsidRPr="00A870A0">
        <w:rPr>
          <w:b/>
          <w:bCs/>
          <w:u w:val="single"/>
        </w:rPr>
        <w:t>Segundo</w:t>
      </w:r>
      <w:r w:rsidRPr="00A870A0">
        <w:rPr>
          <w:b/>
          <w:bCs/>
          <w:u w:val="single"/>
        </w:rPr>
        <w:t xml:space="preserve"> periodo</w:t>
      </w:r>
      <w:r w:rsidRPr="00A870A0">
        <w:rPr>
          <w:b/>
          <w:bCs/>
        </w:rPr>
        <w:t>:</w:t>
      </w:r>
      <w:r w:rsidRPr="00A870A0">
        <w:t xml:space="preserve"> </w:t>
      </w:r>
      <w:r>
        <w:t>1</w:t>
      </w:r>
      <w:r>
        <w:t>943</w:t>
      </w:r>
      <w:r>
        <w:t>-19</w:t>
      </w:r>
      <w:r>
        <w:t>55 (Gob. Peronista)</w:t>
      </w:r>
      <w:r w:rsidR="00933EE6">
        <w:t xml:space="preserve"> “Generación y regulación de políticas de formación práctica.”</w:t>
      </w:r>
      <w:r w:rsidR="00FB731E">
        <w:t xml:space="preserve"> “Saber hacer” (CNOAP – “El mejoramiento moral y material de la clase trabajadora” y DGET – “Esc. Fábrica y de Aprendizaje”). En 1959 se crea la CONET</w:t>
      </w:r>
    </w:p>
    <w:p w14:paraId="531E6611" w14:textId="30E14FC1" w:rsidR="00391E9B" w:rsidRDefault="00391E9B" w:rsidP="00391E9B">
      <w:r w:rsidRPr="00A870A0">
        <w:rPr>
          <w:b/>
          <w:bCs/>
          <w:u w:val="single"/>
        </w:rPr>
        <w:lastRenderedPageBreak/>
        <w:t>Tercer</w:t>
      </w:r>
      <w:r w:rsidRPr="00A870A0">
        <w:rPr>
          <w:b/>
          <w:bCs/>
          <w:u w:val="single"/>
        </w:rPr>
        <w:t xml:space="preserve"> periodo:</w:t>
      </w:r>
      <w:r w:rsidRPr="00A870A0">
        <w:t xml:space="preserve"> </w:t>
      </w:r>
      <w:r>
        <w:t>1990</w:t>
      </w:r>
      <w:r>
        <w:t>-</w:t>
      </w:r>
      <w:r>
        <w:t>2001 (Gob. Menemista</w:t>
      </w:r>
      <w:r w:rsidR="00BA195F">
        <w:t xml:space="preserve"> y De La </w:t>
      </w:r>
      <w:r w:rsidR="00A870A0">
        <w:t>R</w:t>
      </w:r>
      <w:r w:rsidR="00BA195F">
        <w:t>ua</w:t>
      </w:r>
      <w:r>
        <w:t>)</w:t>
      </w:r>
      <w:r w:rsidR="00FB731E">
        <w:t xml:space="preserve"> “La figura del asistido”</w:t>
      </w:r>
      <w:r w:rsidR="00BA195F">
        <w:t xml:space="preserve"> 1995 disuelve CONET se crea INET. Fragmentación institucional. </w:t>
      </w:r>
      <w:r w:rsidR="00A870A0">
        <w:t>Destinado al servicio y no a la producción</w:t>
      </w:r>
      <w:r w:rsidR="00C57EEE">
        <w:t>.</w:t>
      </w:r>
    </w:p>
    <w:p w14:paraId="425507F0" w14:textId="123B7E46" w:rsidR="00391E9B" w:rsidRDefault="00391E9B" w:rsidP="00391E9B">
      <w:r w:rsidRPr="00A870A0">
        <w:rPr>
          <w:b/>
          <w:bCs/>
          <w:u w:val="single"/>
        </w:rPr>
        <w:t>Cuarto</w:t>
      </w:r>
      <w:r w:rsidRPr="00A870A0">
        <w:rPr>
          <w:b/>
          <w:bCs/>
          <w:u w:val="single"/>
        </w:rPr>
        <w:t xml:space="preserve"> periodo:</w:t>
      </w:r>
      <w:r w:rsidRPr="00A870A0">
        <w:t xml:space="preserve"> </w:t>
      </w:r>
      <w:r>
        <w:t>(Gobierno Kir</w:t>
      </w:r>
      <w:r w:rsidR="00A870A0">
        <w:t>c</w:t>
      </w:r>
      <w:r>
        <w:t>knerista)</w:t>
      </w:r>
      <w:r w:rsidR="00BA195F">
        <w:t xml:space="preserve"> </w:t>
      </w:r>
      <w:r w:rsidR="00594071">
        <w:t xml:space="preserve">A partir del </w:t>
      </w:r>
      <w:r w:rsidR="00BA195F">
        <w:t>2003</w:t>
      </w:r>
      <w:r w:rsidR="00594071">
        <w:t xml:space="preserve"> se dictan: </w:t>
      </w:r>
      <w:r w:rsidR="00594071">
        <w:t xml:space="preserve">Ley de Financiamiento Educativo, </w:t>
      </w:r>
      <w:r w:rsidR="00A870A0">
        <w:t>N.º</w:t>
      </w:r>
      <w:r w:rsidR="00594071">
        <w:t xml:space="preserve"> 26075/2005; la Ley de Educación Nacional, </w:t>
      </w:r>
      <w:r w:rsidR="00A870A0">
        <w:t>N.º</w:t>
      </w:r>
      <w:r w:rsidR="00594071">
        <w:t xml:space="preserve"> </w:t>
      </w:r>
      <w:r w:rsidR="00594071">
        <w:t xml:space="preserve">26206/2006; y la Ley de Educación Técnico Profesional, </w:t>
      </w:r>
      <w:r w:rsidR="00A870A0">
        <w:t>N.º</w:t>
      </w:r>
      <w:r w:rsidR="00594071">
        <w:t xml:space="preserve"> </w:t>
      </w:r>
      <w:r w:rsidR="00594071">
        <w:t>26058/2005</w:t>
      </w:r>
      <w:r w:rsidR="00594071">
        <w:t xml:space="preserve"> que vinculan la educación con el trabajo</w:t>
      </w:r>
      <w:r w:rsidR="00C57EEE">
        <w:t>, su pensamiento no es importar sino producir productos.</w:t>
      </w:r>
    </w:p>
    <w:p w14:paraId="1BA7CEBB" w14:textId="77777777" w:rsidR="00131BA8" w:rsidRDefault="00F53F37">
      <w:pPr>
        <w:rPr>
          <w:sz w:val="24"/>
          <w:szCs w:val="24"/>
        </w:rPr>
      </w:pPr>
      <w:r w:rsidRPr="00131BA8">
        <w:rPr>
          <w:sz w:val="24"/>
          <w:szCs w:val="24"/>
        </w:rPr>
        <w:t>3</w:t>
      </w:r>
      <w:r w:rsidR="00131BA8" w:rsidRPr="00131BA8">
        <w:rPr>
          <w:sz w:val="24"/>
          <w:szCs w:val="24"/>
        </w:rPr>
        <w:t>-</w:t>
      </w:r>
      <w:r w:rsidRPr="00131BA8">
        <w:rPr>
          <w:sz w:val="24"/>
          <w:szCs w:val="24"/>
        </w:rPr>
        <w:t xml:space="preserve"> </w:t>
      </w:r>
      <w:r w:rsidRPr="00131BA8">
        <w:rPr>
          <w:b/>
          <w:bCs/>
          <w:sz w:val="24"/>
          <w:szCs w:val="24"/>
        </w:rPr>
        <w:t>Ibarrola</w:t>
      </w:r>
      <w:r w:rsidRPr="00131BA8">
        <w:rPr>
          <w:sz w:val="24"/>
          <w:szCs w:val="24"/>
        </w:rPr>
        <w:t xml:space="preserve"> </w:t>
      </w:r>
    </w:p>
    <w:p w14:paraId="02BF9C34" w14:textId="188D1BDA" w:rsidR="00F53F37" w:rsidRDefault="00F53F37">
      <w:r>
        <w:t>Formación de profesionales para la ETP</w:t>
      </w:r>
      <w:r w:rsidR="00FE31EA">
        <w:t>. Nuevos enfoques pedagógicos en</w:t>
      </w:r>
      <w:r w:rsidR="00FE31EA" w:rsidRPr="00FE31EA">
        <w:rPr>
          <w:i/>
        </w:rPr>
        <w:t xml:space="preserve"> Retos actuales de la ETP</w:t>
      </w:r>
      <w:r w:rsidR="00FE31EA">
        <w:t xml:space="preserve"> </w:t>
      </w:r>
      <w:r w:rsidR="00131BA8" w:rsidRPr="00555D54">
        <w:t>(p</w:t>
      </w:r>
      <w:r w:rsidR="00131BA8">
        <w:t>ág.</w:t>
      </w:r>
      <w:r w:rsidR="00131BA8" w:rsidRPr="00555D54">
        <w:t xml:space="preserve"> </w:t>
      </w:r>
      <w:r w:rsidR="00FE31EA">
        <w:t>72-88</w:t>
      </w:r>
      <w:r w:rsidR="00131BA8">
        <w:t>)</w:t>
      </w:r>
    </w:p>
    <w:p w14:paraId="0BD836F5" w14:textId="77777777" w:rsidR="00FE31EA" w:rsidRDefault="00FE31EA">
      <w:r>
        <w:t>Ubicar y leer atentamente los subtítulos del escrito y sintetizar sus principales aportes teóricos</w:t>
      </w:r>
    </w:p>
    <w:p w14:paraId="67C3F22D" w14:textId="77777777" w:rsidR="00131BA8" w:rsidRDefault="00FE31EA" w:rsidP="00131BA8">
      <w:pPr>
        <w:pStyle w:val="Prrafodelista"/>
        <w:numPr>
          <w:ilvl w:val="0"/>
          <w:numId w:val="2"/>
        </w:numPr>
      </w:pPr>
      <w:r>
        <w:t>Contenido de la formación para y en el trabajo en estas épocas de cambio de las ocupaciones</w:t>
      </w:r>
      <w:r w:rsidR="00131BA8">
        <w:t>.</w:t>
      </w:r>
    </w:p>
    <w:p w14:paraId="5A5ADE0E" w14:textId="77777777" w:rsidR="00131BA8" w:rsidRDefault="00FE31EA" w:rsidP="00131BA8">
      <w:pPr>
        <w:pStyle w:val="Prrafodelista"/>
        <w:numPr>
          <w:ilvl w:val="0"/>
          <w:numId w:val="2"/>
        </w:numPr>
      </w:pPr>
      <w:r>
        <w:t>Espacios de aprendizaje para el trabajo: reconocimiento de aprendizajes formales, no formales e informales</w:t>
      </w:r>
      <w:r w:rsidR="00131BA8">
        <w:t>.</w:t>
      </w:r>
    </w:p>
    <w:p w14:paraId="20149345" w14:textId="77777777" w:rsidR="00131BA8" w:rsidRDefault="00FE31EA" w:rsidP="00131BA8">
      <w:pPr>
        <w:pStyle w:val="Prrafodelista"/>
        <w:numPr>
          <w:ilvl w:val="0"/>
          <w:numId w:val="2"/>
        </w:numPr>
      </w:pPr>
      <w:r>
        <w:t>Rasgos de la población demandante</w:t>
      </w:r>
      <w:r w:rsidR="00131BA8">
        <w:t>.</w:t>
      </w:r>
    </w:p>
    <w:p w14:paraId="19D04822" w14:textId="50628B51" w:rsidR="00FE31EA" w:rsidRPr="00FE31EA" w:rsidRDefault="00FE31EA" w:rsidP="00131BA8">
      <w:pPr>
        <w:pStyle w:val="Prrafodelista"/>
        <w:numPr>
          <w:ilvl w:val="0"/>
          <w:numId w:val="2"/>
        </w:numPr>
      </w:pPr>
      <w:r>
        <w:t>Quiénes son los profesionales de la ETP y cómo se forman</w:t>
      </w:r>
      <w:r w:rsidR="00131BA8">
        <w:t>.</w:t>
      </w:r>
    </w:p>
    <w:p w14:paraId="666BFEC4" w14:textId="77777777" w:rsidR="00F63BEE" w:rsidRDefault="00F63BEE"/>
    <w:sectPr w:rsidR="00F63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3787B"/>
    <w:multiLevelType w:val="hybridMultilevel"/>
    <w:tmpl w:val="8C9EFD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430D6"/>
    <w:multiLevelType w:val="hybridMultilevel"/>
    <w:tmpl w:val="8676E1E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05F85"/>
    <w:multiLevelType w:val="hybridMultilevel"/>
    <w:tmpl w:val="6BF03D3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BEE"/>
    <w:rsid w:val="00131BA8"/>
    <w:rsid w:val="001824B3"/>
    <w:rsid w:val="001C489C"/>
    <w:rsid w:val="00391E9B"/>
    <w:rsid w:val="00555D54"/>
    <w:rsid w:val="005752A5"/>
    <w:rsid w:val="00594071"/>
    <w:rsid w:val="0065539C"/>
    <w:rsid w:val="00842264"/>
    <w:rsid w:val="00933EE6"/>
    <w:rsid w:val="00A870A0"/>
    <w:rsid w:val="00BA195F"/>
    <w:rsid w:val="00BD03AE"/>
    <w:rsid w:val="00C57EEE"/>
    <w:rsid w:val="00F169A0"/>
    <w:rsid w:val="00F53F37"/>
    <w:rsid w:val="00F63BEE"/>
    <w:rsid w:val="00FB731E"/>
    <w:rsid w:val="00FE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E65D"/>
  <w15:chartTrackingRefBased/>
  <w15:docId w15:val="{3B978DA1-CF89-4ADC-9980-78AC5DAC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BA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91E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1E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1E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1E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1E9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1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E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Fuentes</dc:creator>
  <cp:keywords/>
  <dc:description/>
  <cp:lastModifiedBy>Mario Darío Silka</cp:lastModifiedBy>
  <cp:revision>7</cp:revision>
  <dcterms:created xsi:type="dcterms:W3CDTF">2020-09-01T18:59:00Z</dcterms:created>
  <dcterms:modified xsi:type="dcterms:W3CDTF">2020-09-28T15:35:00Z</dcterms:modified>
</cp:coreProperties>
</file>