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82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AGATBE THYMOTY SIHOMBING</w:t>
      </w:r>
    </w:p>
    <w:p w:rsidR="00134827" w:rsidRDefault="00000000">
      <w:pPr>
        <w:spacing w:after="20"/>
        <w:jc w:val="center"/>
      </w:pPr>
      <w:r>
        <w:rPr>
          <w:rFonts w:ascii="Calibri" w:eastAsia="Calibri" w:hAnsi="Calibri" w:cs="Calibri"/>
        </w:rPr>
        <w:t>Jakarta, Indonesia | agatbe19@gmail.com | +62 812 9636 5009</w:t>
      </w:r>
    </w:p>
    <w:p w:rsidR="00134827" w:rsidRDefault="00000000">
      <w:pPr>
        <w:spacing w:after="200"/>
        <w:jc w:val="center"/>
      </w:pPr>
      <w:r>
        <w:rPr>
          <w:rFonts w:ascii="Calibri" w:eastAsia="Calibri" w:hAnsi="Calibri" w:cs="Calibri"/>
        </w:rPr>
        <w:t>linkedin.com/in/agatbe | agatbe.com</w:t>
      </w:r>
    </w:p>
    <w:p w:rsidR="00134827" w:rsidRDefault="00000000">
      <w:pPr>
        <w:keepNext/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:rsidR="00134827" w:rsidRPr="00CB3EBC" w:rsidRDefault="00CB3EBC" w:rsidP="00CB3EBC">
      <w:pPr>
        <w:spacing w:after="6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Fonts w:asciiTheme="minorHAnsi" w:hAnsiTheme="minorHAnsi" w:cstheme="minorHAnsi"/>
          <w:color w:val="000000" w:themeColor="text1"/>
          <w:sz w:val="21"/>
          <w:szCs w:val="21"/>
        </w:rPr>
        <w:t>Investment research and portfolio management professional with experience across wealth management, asset management, and equity research. Conduct cross-asset research covering macroeconomics, fixed income, mutual funds, Indonesian and offshore equities, and digital assets to support portfolio decisions and investment-product evaluation at BCA Wealth Management. Skilled in fundamental research, financial modeling, quantitative analysis, and portfolio construction, with additional experience leading a seven-analyst team and building a 4,600+ member financial research community.</w:t>
      </w:r>
    </w:p>
    <w:p w:rsidR="00134827" w:rsidRDefault="00000000" w:rsidP="007C529C">
      <w:pPr>
        <w:keepNext/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EXPERIENCE</w:t>
      </w:r>
    </w:p>
    <w:p w:rsidR="007C529C" w:rsidRDefault="007C529C" w:rsidP="007C529C">
      <w:pPr>
        <w:keepNext/>
        <w:tabs>
          <w:tab w:val="right" w:pos="1080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Bank Central Asia (BCA)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 w:rsidR="00CB3EBC">
        <w:rPr>
          <w:rFonts w:ascii="Calibri" w:eastAsia="Calibri" w:hAnsi="Calibri" w:cs="Calibri"/>
          <w:b/>
          <w:bCs/>
          <w:sz w:val="21"/>
          <w:szCs w:val="21"/>
        </w:rPr>
        <w:t>September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202</w:t>
      </w:r>
      <w:r w:rsidR="00CB3EBC">
        <w:rPr>
          <w:rFonts w:ascii="Calibri" w:eastAsia="Calibri" w:hAnsi="Calibri" w:cs="Calibri"/>
          <w:b/>
          <w:bCs/>
          <w:sz w:val="21"/>
          <w:szCs w:val="21"/>
        </w:rPr>
        <w:t>6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– Present</w:t>
      </w:r>
    </w:p>
    <w:p w:rsidR="007C529C" w:rsidRDefault="007C529C" w:rsidP="007C529C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Investment Research &amp; Portfolio Management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Jakarta, Indonesia</w:t>
      </w:r>
    </w:p>
    <w:p w:rsidR="007C529C" w:rsidRPr="007C529C" w:rsidRDefault="007C529C" w:rsidP="007C52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Analyze global and Indonesian macroeconomic conditions, including monetary policy, interest rates, and inflation, to assess cross-asset market implications.</w:t>
      </w:r>
    </w:p>
    <w:p w:rsidR="007C529C" w:rsidRPr="007C529C" w:rsidRDefault="007C529C" w:rsidP="007C52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Evaluate fixed income, mutual funds, Indonesian equities, and offshore equities to support investment-product screening and portfolio decisions.</w:t>
      </w:r>
    </w:p>
    <w:p w:rsidR="00A01B2D" w:rsidRDefault="007C529C" w:rsidP="007C52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Produce daily market outlooks that synthesize overnight developments, market movements, economic data, and investment implications for Indonesian investors.</w:t>
      </w:r>
    </w:p>
    <w:p w:rsidR="007C529C" w:rsidRPr="007C529C" w:rsidRDefault="007C529C" w:rsidP="007C52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Contribute to an AI-enabled dashboard for portfolio and investment-product analysis by translating market conditions and asset-class performance into decision-relevant insights.</w:t>
      </w:r>
    </w:p>
    <w:p w:rsidR="00134827" w:rsidRDefault="00000000">
      <w:pPr>
        <w:keepNext/>
        <w:tabs>
          <w:tab w:val="right" w:pos="1080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Revalue Academy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May 2025 – July 2025</w:t>
      </w:r>
    </w:p>
    <w:p w:rsidR="00134827" w:rsidRDefault="00CB3EBC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Product Intern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Remote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Designed five PowerPoint training modules that translated Revalue Academy's REVALUE stock-selection framework into accessible lessons for live retail-investor classes.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Used visual storytelling and analogies to explain net-income allocation and dividend policy to non-specialist audiences.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Converted valuation and capital-allocation concepts into clear retail-investor content while preserving analytical rigor.</w:t>
      </w:r>
    </w:p>
    <w:p w:rsidR="00134827" w:rsidRDefault="00000000">
      <w:pPr>
        <w:keepNext/>
        <w:tabs>
          <w:tab w:val="right" w:pos="10800"/>
        </w:tabs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Syailendra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Capital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February 2025 – May 2025</w:t>
      </w:r>
    </w:p>
    <w:p w:rsidR="00134827" w:rsidRDefault="00000000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Project Consultant (Project Lead)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Remote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Led a student consulting team from SBM ITB Investment Club and ITB Student Consulting to design an AI/NLP market-intelligence framework for a leading Indonesian asset manager.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Developed a sentiment-analysis methodology and interactive dashboard prototype that automated financial-news curation and surfaced early macroeconomic signals for portfolio managers.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Delivered the proof of concept, methodology, and implementation roadmap to the investment team for future production deployment.</w:t>
      </w:r>
    </w:p>
    <w:p w:rsidR="00134827" w:rsidRDefault="00000000">
      <w:pPr>
        <w:keepNext/>
        <w:tabs>
          <w:tab w:val="right" w:pos="10800"/>
        </w:tabs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Launchy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ab/>
        <w:t>October 2023 – May 2024</w:t>
      </w:r>
    </w:p>
    <w:p w:rsidR="00134827" w:rsidRDefault="00000000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Crypto Researcher (Internship → Full-time)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Remote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Performed bottom-up due diligence on 70+ DePIN projects, evaluating tokenomics, ecosystem viability, and yield potential for institutional allocation decisions.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Produced monthly deal-flow reports covering 50+ crypto funding rounds, informing investment-thesis development for VC and institutional-fund clients.</w:t>
      </w:r>
    </w:p>
    <w:p w:rsidR="007C529C" w:rsidRPr="007C529C" w:rsidRDefault="00000000" w:rsidP="007C529C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Mapped the Fantom ecosystem through on-chain analysis to visualize protocol relationships and identify emerging yield opportunities.</w:t>
      </w:r>
    </w:p>
    <w:p w:rsidR="00134827" w:rsidRDefault="00000000">
      <w:pPr>
        <w:keepNext/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:rsidR="00134827" w:rsidRDefault="00000000">
      <w:pPr>
        <w:keepNext/>
        <w:tabs>
          <w:tab w:val="right" w:pos="10800"/>
        </w:tabs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Institut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Teknologi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Bandung (ITB)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August 2023 – August 2026</w:t>
      </w:r>
    </w:p>
    <w:p w:rsidR="00134827" w:rsidRDefault="00000000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Bachelor of Management, School of Business and Management (SBM)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Bandung, Indonesia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Degree conferred (Yudisium) August 2026; formal graduation ceremony October 2026.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GPA: 3.45/4.00.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proofErr w:type="spellStart"/>
      <w:r>
        <w:rPr>
          <w:rFonts w:ascii="Calibri" w:eastAsia="Calibri" w:hAnsi="Calibri" w:cs="Calibri"/>
          <w:sz w:val="21"/>
          <w:szCs w:val="21"/>
        </w:rPr>
        <w:t>Honors</w:t>
      </w:r>
      <w:proofErr w:type="spellEnd"/>
      <w:r>
        <w:rPr>
          <w:rFonts w:ascii="Calibri" w:eastAsia="Calibri" w:hAnsi="Calibri" w:cs="Calibri"/>
          <w:sz w:val="21"/>
          <w:szCs w:val="21"/>
        </w:rPr>
        <w:t>: Bank Indonesia Scholarship Recipient.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Relevant Coursework: Corporate Finance, Investment Analysis, Financial Statement Analysis, Strategic Management, Business Statistics.</w:t>
      </w:r>
    </w:p>
    <w:p w:rsidR="00134827" w:rsidRDefault="00CB3EBC">
      <w:pPr>
        <w:keepNext/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ORGANIZATIONAL EXPERIENCE</w:t>
      </w:r>
    </w:p>
    <w:p w:rsidR="007C529C" w:rsidRDefault="007C529C" w:rsidP="007C529C">
      <w:pPr>
        <w:keepNext/>
        <w:tabs>
          <w:tab w:val="right" w:pos="1080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Kadin Indonesia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 w:rsidR="00CB3EBC">
        <w:rPr>
          <w:rFonts w:ascii="Calibri" w:eastAsia="Calibri" w:hAnsi="Calibri" w:cs="Calibri"/>
          <w:b/>
          <w:bCs/>
          <w:sz w:val="21"/>
          <w:szCs w:val="21"/>
        </w:rPr>
        <w:t>September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202</w:t>
      </w:r>
      <w:r w:rsidR="00CB3EBC">
        <w:rPr>
          <w:rFonts w:ascii="Calibri" w:eastAsia="Calibri" w:hAnsi="Calibri" w:cs="Calibri"/>
          <w:b/>
          <w:bCs/>
          <w:sz w:val="21"/>
          <w:szCs w:val="21"/>
        </w:rPr>
        <w:t>6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– Present</w:t>
      </w:r>
    </w:p>
    <w:p w:rsidR="007C529C" w:rsidRDefault="007C529C" w:rsidP="007C529C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Product Development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Jakarta, Indonesia</w:t>
      </w:r>
    </w:p>
    <w:p w:rsidR="00A01B2D" w:rsidRPr="007C529C" w:rsidRDefault="00A01B2D" w:rsidP="00A01B2D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Benchmark executive-education and business-masterclass providers across curriculum, delivery model, pricing, and positioning to inform program differentiation.</w:t>
      </w:r>
    </w:p>
    <w:p w:rsidR="00A01B2D" w:rsidRPr="007C529C" w:rsidRDefault="00A01B2D" w:rsidP="00A01B2D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Develop pricing options for the CEO Masterclass by evaluating tiered and bundled structures against competitor benchmarks and target-segment willingness to pay.</w:t>
      </w:r>
    </w:p>
    <w:p w:rsidR="007C529C" w:rsidRPr="00A01B2D" w:rsidRDefault="00A01B2D" w:rsidP="00A01B2D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Support go-to-market planning by defining target participant segments, acquisition channels, and launch sequencing with the program team.</w:t>
      </w:r>
    </w:p>
    <w:p w:rsidR="007C529C" w:rsidRDefault="007C529C" w:rsidP="007C529C">
      <w:pPr>
        <w:keepNext/>
        <w:tabs>
          <w:tab w:val="right" w:pos="1080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Not Into Finance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August 2025 – Present</w:t>
      </w:r>
    </w:p>
    <w:p w:rsidR="007C529C" w:rsidRDefault="007C529C" w:rsidP="007C529C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Founder &amp; CEO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Jakarta, Indonesia</w:t>
      </w:r>
    </w:p>
    <w:p w:rsidR="007C529C" w:rsidRDefault="007C529C" w:rsidP="007C529C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Founded and scaled a Discord-based financial research community to 4,600+ members and 200+ paying subscribers, generating Rp50 million in first-year revenue through research subscriptions and investment classes averaging 500 attendees.</w:t>
      </w:r>
    </w:p>
    <w:p w:rsidR="007C529C" w:rsidRDefault="007C529C" w:rsidP="007C529C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Built an audience of 10,000+ followers across Instagram and X, strengthening brand awareness among Indonesian retail and student investors.</w:t>
      </w:r>
    </w:p>
    <w:p w:rsidR="007C529C" w:rsidRPr="007C529C" w:rsidRDefault="007C529C" w:rsidP="007C529C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Lead a seven-analyst team through structured Notion workflows and weekly thesis reviews, publishing institutional-style research across Indonesian equities, macroeconomics, and digital assets.</w:t>
      </w:r>
    </w:p>
    <w:p w:rsidR="007C529C" w:rsidRPr="007C529C" w:rsidRDefault="007C529C" w:rsidP="007C529C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Secured 20+ partnerships and co-hosted webinars or cross-promotions with McKinsey YLI, Samuel Sekuritas, Syailendra Capital, and leading Indonesian universities.</w:t>
      </w:r>
    </w:p>
    <w:p w:rsidR="00134827" w:rsidRDefault="00000000">
      <w:pPr>
        <w:keepNext/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CERTIFICATIONS</w:t>
      </w:r>
    </w:p>
    <w:p w:rsidR="00A01B2D" w:rsidRPr="00A01B2D" w:rsidRDefault="00000000" w:rsidP="00A01B2D">
      <w:pPr>
        <w:spacing w:after="100"/>
      </w:pPr>
      <w:r>
        <w:rPr>
          <w:rFonts w:ascii="Calibri" w:eastAsia="Calibri" w:hAnsi="Calibri" w:cs="Calibri"/>
          <w:sz w:val="21"/>
          <w:szCs w:val="21"/>
        </w:rPr>
        <w:t>WPPE – Wakil Perantara Perdagangan Efek, LSP | Issued April 2026 | Indonesian Broker-Dealer Representative License</w:t>
      </w:r>
    </w:p>
    <w:p w:rsidR="00134827" w:rsidRDefault="00000000">
      <w:pPr>
        <w:keepNext/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ACHIEVEMENTS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sz w:val="21"/>
          <w:szCs w:val="21"/>
        </w:rPr>
        <w:t xml:space="preserve">Equity Research: </w:t>
      </w:r>
      <w:r>
        <w:rPr>
          <w:rFonts w:ascii="Calibri" w:eastAsia="Calibri" w:hAnsi="Calibri" w:cs="Calibri"/>
          <w:b w:val="0"/>
          <w:sz w:val="21"/>
          <w:szCs w:val="21"/>
        </w:rPr>
        <w:t>Top 4 Finalist, IMPACT Maliki Equity Research Paper 2025 (HOLD recommendation, PT Bank Central Asia Tbk/BBCA); Finalist and Best Speaker, UCMC Equity Research Competition.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sz w:val="21"/>
          <w:szCs w:val="21"/>
        </w:rPr>
        <w:t xml:space="preserve">Entrepreneurship: </w:t>
      </w:r>
      <w:r>
        <w:rPr>
          <w:rFonts w:ascii="Calibri" w:eastAsia="Calibri" w:hAnsi="Calibri" w:cs="Calibri"/>
          <w:b w:val="0"/>
          <w:sz w:val="21"/>
          <w:szCs w:val="21"/>
        </w:rPr>
        <w:t>Selected as 1 of 3 recipients of the Ministry of Higher Education, Research, and Technology venture grant and 1 of 25 recipients of the ITB Student Entrepreneurial Program.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b/>
          <w:sz w:val="21"/>
          <w:szCs w:val="21"/>
        </w:rPr>
        <w:t xml:space="preserve">Public Speaking: </w:t>
      </w:r>
      <w:r>
        <w:rPr>
          <w:rFonts w:ascii="Calibri" w:eastAsia="Calibri" w:hAnsi="Calibri" w:cs="Calibri"/>
          <w:b w:val="0"/>
          <w:sz w:val="21"/>
          <w:szCs w:val="21"/>
        </w:rPr>
        <w:t>Invited speaker on capital markets and investing at Lotus Andalan Sekuritas, Institut Teknologi Bandung, Universitas Indonesia, and UPN Veteran.</w:t>
      </w:r>
    </w:p>
    <w:p w:rsidR="00134827" w:rsidRDefault="00000000">
      <w:pPr>
        <w:keepNext/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SKILLS &amp; TOOLS</w:t>
      </w:r>
    </w:p>
    <w:p w:rsidR="00134827" w:rsidRDefault="00000000">
      <w:pPr>
        <w:spacing w:after="60"/>
      </w:pPr>
      <w:r>
        <w:rPr>
          <w:rFonts w:ascii="Calibri" w:eastAsia="Calibri" w:hAnsi="Calibri" w:cs="Calibri"/>
          <w:b/>
          <w:sz w:val="21"/>
          <w:szCs w:val="21"/>
        </w:rPr>
        <w:t xml:space="preserve">Technical: </w:t>
      </w:r>
      <w:r>
        <w:rPr>
          <w:rFonts w:ascii="Calibri" w:eastAsia="Calibri" w:hAnsi="Calibri" w:cs="Calibri"/>
          <w:b w:val="0"/>
          <w:sz w:val="21"/>
          <w:szCs w:val="21"/>
        </w:rPr>
        <w:t>Financial Modeling (DCF, Comparable Company Analysis, Dividend Discount Model); Equity Research; Fundamental Analysis; Fixed-Income Analysis; Portfolio Construction and Optimization (Markowitz); Monte Carlo Simulation; Quantitative Analysis; Financial Statement Analysis; Macroeconomic Research.</w:t>
      </w:r>
    </w:p>
    <w:p w:rsidR="00134827" w:rsidRDefault="00000000">
      <w:pPr>
        <w:spacing w:after="60"/>
      </w:pPr>
      <w:r>
        <w:rPr>
          <w:rFonts w:ascii="Calibri" w:eastAsia="Calibri" w:hAnsi="Calibri" w:cs="Calibri"/>
          <w:b/>
          <w:sz w:val="21"/>
          <w:szCs w:val="21"/>
        </w:rPr>
        <w:t xml:space="preserve">Tools: </w:t>
      </w:r>
      <w:r>
        <w:rPr>
          <w:rFonts w:ascii="Calibri" w:eastAsia="Calibri" w:hAnsi="Calibri" w:cs="Calibri"/>
          <w:b w:val="0"/>
          <w:sz w:val="21"/>
          <w:szCs w:val="21"/>
        </w:rPr>
        <w:t>Microsoft Excel (Advanced), PowerPoint, Python (pandas, yfinance, web scraping), Notion, Figma, Adobe Photoshop.</w:t>
      </w:r>
    </w:p>
    <w:p w:rsidR="00134827" w:rsidRDefault="00000000">
      <w:pPr>
        <w:spacing w:after="60"/>
      </w:pPr>
      <w:r>
        <w:rPr>
          <w:rFonts w:ascii="Calibri" w:eastAsia="Calibri" w:hAnsi="Calibri" w:cs="Calibri"/>
          <w:b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b w:val="0"/>
          <w:sz w:val="21"/>
          <w:szCs w:val="21"/>
        </w:rPr>
        <w:t>Bahasa Indonesia (Native); English (Professional Working Proficiency).</w:t>
      </w:r>
    </w:p>
    <w:sectPr w:rsidR="00134827">
      <w:pgSz w:w="12240" w:h="15840"/>
      <w:pgMar w:top="56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5391"/>
    <w:multiLevelType w:val="hybridMultilevel"/>
    <w:tmpl w:val="31B67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40AB3"/>
    <w:multiLevelType w:val="hybridMultilevel"/>
    <w:tmpl w:val="67E6776E"/>
    <w:lvl w:ilvl="0" w:tplc="5016E568">
      <w:start w:val="1"/>
      <w:numFmt w:val="bullet"/>
      <w:lvlText w:val="●"/>
      <w:lvlJc w:val="left"/>
      <w:pPr>
        <w:ind w:left="720" w:hanging="360"/>
      </w:pPr>
    </w:lvl>
    <w:lvl w:ilvl="1" w:tplc="5308E90E">
      <w:start w:val="1"/>
      <w:numFmt w:val="bullet"/>
      <w:lvlText w:val="○"/>
      <w:lvlJc w:val="left"/>
      <w:pPr>
        <w:ind w:left="1440" w:hanging="360"/>
      </w:pPr>
    </w:lvl>
    <w:lvl w:ilvl="2" w:tplc="4F0AAFA6">
      <w:start w:val="1"/>
      <w:numFmt w:val="bullet"/>
      <w:lvlText w:val="■"/>
      <w:lvlJc w:val="left"/>
      <w:pPr>
        <w:ind w:left="2160" w:hanging="360"/>
      </w:pPr>
    </w:lvl>
    <w:lvl w:ilvl="3" w:tplc="0C9ACE14">
      <w:start w:val="1"/>
      <w:numFmt w:val="bullet"/>
      <w:lvlText w:val="●"/>
      <w:lvlJc w:val="left"/>
      <w:pPr>
        <w:ind w:left="2880" w:hanging="360"/>
      </w:pPr>
    </w:lvl>
    <w:lvl w:ilvl="4" w:tplc="74D46B18">
      <w:start w:val="1"/>
      <w:numFmt w:val="bullet"/>
      <w:lvlText w:val="○"/>
      <w:lvlJc w:val="left"/>
      <w:pPr>
        <w:ind w:left="3600" w:hanging="360"/>
      </w:pPr>
    </w:lvl>
    <w:lvl w:ilvl="5" w:tplc="FFBC9C30">
      <w:start w:val="1"/>
      <w:numFmt w:val="bullet"/>
      <w:lvlText w:val="■"/>
      <w:lvlJc w:val="left"/>
      <w:pPr>
        <w:ind w:left="4320" w:hanging="360"/>
      </w:pPr>
    </w:lvl>
    <w:lvl w:ilvl="6" w:tplc="761A5664">
      <w:start w:val="1"/>
      <w:numFmt w:val="bullet"/>
      <w:lvlText w:val="●"/>
      <w:lvlJc w:val="left"/>
      <w:pPr>
        <w:ind w:left="5040" w:hanging="360"/>
      </w:pPr>
    </w:lvl>
    <w:lvl w:ilvl="7" w:tplc="C624EF4E">
      <w:start w:val="1"/>
      <w:numFmt w:val="bullet"/>
      <w:lvlText w:val="●"/>
      <w:lvlJc w:val="left"/>
      <w:pPr>
        <w:ind w:left="5760" w:hanging="360"/>
      </w:pPr>
    </w:lvl>
    <w:lvl w:ilvl="8" w:tplc="4CCA747C">
      <w:start w:val="1"/>
      <w:numFmt w:val="bullet"/>
      <w:lvlText w:val="●"/>
      <w:lvlJc w:val="left"/>
      <w:pPr>
        <w:ind w:left="6480" w:hanging="360"/>
      </w:pPr>
    </w:lvl>
  </w:abstractNum>
  <w:num w:numId="1" w16cid:durableId="1672022664">
    <w:abstractNumId w:val="1"/>
    <w:lvlOverride w:ilvl="0">
      <w:startOverride w:val="1"/>
    </w:lvlOverride>
  </w:num>
  <w:num w:numId="2" w16cid:durableId="156290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827"/>
    <w:rsid w:val="00134827"/>
    <w:rsid w:val="007C529C"/>
    <w:rsid w:val="009A5EFF"/>
    <w:rsid w:val="00A01B2D"/>
    <w:rsid w:val="00CB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8EBBA"/>
  <w15:docId w15:val="{682D8E8D-5E24-3F4C-9EA6-1D6A8D0F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7C529C"/>
    <w:rPr>
      <w:rFonts w:ascii="Helvetica" w:hAnsi="Helvetica"/>
      <w:color w:val="000000"/>
      <w:sz w:val="16"/>
      <w:szCs w:val="16"/>
    </w:rPr>
  </w:style>
  <w:style w:type="character" w:customStyle="1" w:styleId="s1">
    <w:name w:val="s1"/>
    <w:basedOn w:val="DefaultParagraphFont"/>
    <w:rsid w:val="007C529C"/>
    <w:rPr>
      <w:rFonts w:ascii="Helvetica" w:hAnsi="Helvetica" w:hint="default"/>
      <w:sz w:val="15"/>
      <w:szCs w:val="15"/>
    </w:rPr>
  </w:style>
  <w:style w:type="character" w:customStyle="1" w:styleId="apple-converted-space">
    <w:name w:val="apple-converted-space"/>
    <w:basedOn w:val="DefaultParagraphFont"/>
    <w:rsid w:val="007C529C"/>
  </w:style>
  <w:style w:type="character" w:styleId="Strong">
    <w:name w:val="Strong"/>
    <w:basedOn w:val="DefaultParagraphFont"/>
    <w:uiPriority w:val="22"/>
    <w:qFormat/>
    <w:rsid w:val="007C52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gatb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tagram.com/agatbe_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.com/igodbe_" TargetMode="External"/><Relationship Id="rId5" Type="http://schemas.openxmlformats.org/officeDocument/2006/relationships/hyperlink" Target="https://linkedin.com/in/agatb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2026-08-16T17:19:00Z</dcterms:created>
  <dcterms:modified xsi:type="dcterms:W3CDTF">2026-10-13T07:52:00Z</dcterms:modified>
</cp:coreProperties>
</file>