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82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AGATBE THYMOTY SIHOMBING</w:t>
      </w:r>
    </w:p>
    <w:p w:rsidR="00134827" w:rsidRDefault="00000000">
      <w:pPr>
        <w:spacing w:after="20"/>
        <w:jc w:val="center"/>
      </w:pPr>
      <w:r>
        <w:rPr>
          <w:rFonts w:ascii="Calibri" w:eastAsia="Calibri" w:hAnsi="Calibri" w:cs="Calibri"/>
        </w:rPr>
        <w:t>Jakarta, Indonesia | agatbe19@gmail.com | +62 812 9636 5009</w:t>
      </w:r>
    </w:p>
    <w:p w:rsidR="00134827" w:rsidRDefault="00000000">
      <w:pPr>
        <w:spacing w:after="200"/>
        <w:jc w:val="center"/>
      </w:pPr>
      <w:hyperlink r:id="rId5" w:history="1">
        <w:r>
          <w:rPr>
            <w:rStyle w:val="Hyperlink"/>
            <w:rFonts w:ascii="Calibri" w:eastAsia="Calibri" w:hAnsi="Calibri" w:cs="Calibri"/>
          </w:rPr>
          <w:t>LinkedIn</w:t>
        </w:r>
      </w:hyperlink>
      <w:r>
        <w:rPr>
          <w:rFonts w:ascii="Calibri" w:eastAsia="Calibri" w:hAnsi="Calibri" w:cs="Calibri"/>
        </w:rPr>
        <w:t xml:space="preserve"> | </w:t>
      </w:r>
      <w:hyperlink r:id="rId6" w:history="1">
        <w:r>
          <w:rPr>
            <w:rStyle w:val="Hyperlink"/>
            <w:rFonts w:ascii="Calibri" w:eastAsia="Calibri" w:hAnsi="Calibri" w:cs="Calibri"/>
          </w:rPr>
          <w:t>X/Twitter</w:t>
        </w:r>
      </w:hyperlink>
      <w:r>
        <w:rPr>
          <w:rFonts w:ascii="Calibri" w:eastAsia="Calibri" w:hAnsi="Calibri" w:cs="Calibri"/>
        </w:rPr>
        <w:t xml:space="preserve"> | </w:t>
      </w:r>
      <w:hyperlink r:id="rId7" w:history="1">
        <w:r>
          <w:rPr>
            <w:rStyle w:val="Hyperlink"/>
            <w:rFonts w:ascii="Calibri" w:eastAsia="Calibri" w:hAnsi="Calibri" w:cs="Calibri"/>
          </w:rPr>
          <w:t>Instagram</w:t>
        </w:r>
      </w:hyperlink>
      <w:r>
        <w:rPr>
          <w:rFonts w:ascii="Calibri" w:eastAsia="Calibri" w:hAnsi="Calibri" w:cs="Calibri"/>
        </w:rPr>
        <w:t xml:space="preserve"> | </w:t>
      </w:r>
      <w:hyperlink r:id="rId8" w:history="1">
        <w:r>
          <w:rPr>
            <w:rStyle w:val="Hyperlink"/>
            <w:rFonts w:ascii="Calibri" w:eastAsia="Calibri" w:hAnsi="Calibri" w:cs="Calibri"/>
          </w:rPr>
          <w:t>Portfolio</w:t>
        </w:r>
      </w:hyperlink>
    </w:p>
    <w:p w:rsidR="00134827" w:rsidRDefault="00000000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:rsidR="00134827" w:rsidRPr="00CB3EBC" w:rsidRDefault="00CB3EBC" w:rsidP="00CB3EBC">
      <w:pPr>
        <w:spacing w:after="60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CB3EBC">
        <w:rPr>
          <w:rFonts w:asciiTheme="minorHAnsi" w:hAnsiTheme="minorHAnsi" w:cstheme="minorHAnsi"/>
          <w:color w:val="000000" w:themeColor="text1"/>
          <w:sz w:val="21"/>
          <w:szCs w:val="21"/>
        </w:rPr>
        <w:t>Investment research professional with experience across</w:t>
      </w:r>
      <w:r w:rsidRPr="00CB3EBC">
        <w:rPr>
          <w:rStyle w:val="apple-converted-space"/>
          <w:rFonts w:asciiTheme="minorHAnsi" w:hAnsiTheme="minorHAnsi" w:cstheme="minorHAnsi"/>
          <w:color w:val="000000" w:themeColor="text1"/>
          <w:sz w:val="21"/>
          <w:szCs w:val="21"/>
        </w:rPr>
        <w:t> </w:t>
      </w:r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wealth management, asset management, and equity research</w:t>
      </w:r>
      <w:r w:rsidRPr="00CB3EBC">
        <w:rPr>
          <w:rFonts w:asciiTheme="minorHAnsi" w:hAnsiTheme="minorHAnsi" w:cstheme="minorHAnsi"/>
          <w:color w:val="000000" w:themeColor="text1"/>
          <w:sz w:val="21"/>
          <w:szCs w:val="21"/>
        </w:rPr>
        <w:t>, spanning macroeconomics, fixed income, mutual funds, Indonesian equities, offshore equities, and digital assets. Currently at</w:t>
      </w:r>
      <w:r w:rsidRPr="00CB3EBC">
        <w:rPr>
          <w:rStyle w:val="apple-converted-space"/>
          <w:rFonts w:asciiTheme="minorHAnsi" w:hAnsiTheme="minorHAnsi" w:cstheme="minorHAnsi"/>
          <w:color w:val="000000" w:themeColor="text1"/>
          <w:sz w:val="21"/>
          <w:szCs w:val="21"/>
        </w:rPr>
        <w:t> </w:t>
      </w:r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BCA Wealth Management</w:t>
      </w:r>
      <w:r w:rsidRPr="00CB3EBC">
        <w:rPr>
          <w:rFonts w:asciiTheme="minorHAnsi" w:hAnsiTheme="minorHAnsi" w:cstheme="minorHAnsi"/>
          <w:color w:val="000000" w:themeColor="text1"/>
          <w:sz w:val="21"/>
          <w:szCs w:val="21"/>
        </w:rPr>
        <w:t>, supporting portfolio management through cross-asset research, daily and monthly market outlooks, and high-conviction investment product analysis. Strong foundation in</w:t>
      </w:r>
      <w:r w:rsidRPr="00CB3EBC">
        <w:rPr>
          <w:rStyle w:val="apple-converted-space"/>
          <w:rFonts w:asciiTheme="minorHAnsi" w:hAnsiTheme="minorHAnsi" w:cstheme="minorHAnsi"/>
          <w:color w:val="000000" w:themeColor="text1"/>
          <w:sz w:val="21"/>
          <w:szCs w:val="21"/>
        </w:rPr>
        <w:t> </w:t>
      </w:r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 xml:space="preserve">fundamental research, financial </w:t>
      </w:r>
      <w:proofErr w:type="spellStart"/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mode</w:t>
      </w:r>
      <w:r w:rsidR="00A01B2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l</w:t>
      </w:r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ing</w:t>
      </w:r>
      <w:proofErr w:type="spellEnd"/>
      <w:r w:rsidRPr="00CB3EBC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>, quantitative analysis, and portfolio construction</w:t>
      </w:r>
      <w:r w:rsidRPr="00CB3EBC">
        <w:rPr>
          <w:rFonts w:asciiTheme="minorHAnsi" w:hAnsiTheme="minorHAnsi" w:cstheme="minorHAnsi"/>
          <w:color w:val="000000" w:themeColor="text1"/>
          <w:sz w:val="21"/>
          <w:szCs w:val="21"/>
        </w:rPr>
        <w:t>, complemented by experience leading a 7-analyst research team and building a 4,600+ member financial research community.</w:t>
      </w:r>
      <w:r w:rsidRPr="00CB3EBC">
        <w:rPr>
          <w:rFonts w:asciiTheme="minorHAnsi" w:eastAsia="Calibri" w:hAnsiTheme="minorHAnsi" w:cstheme="minorHAnsi"/>
          <w:color w:val="000000" w:themeColor="text1"/>
          <w:sz w:val="21"/>
          <w:szCs w:val="21"/>
        </w:rPr>
        <w:t>.</w:t>
      </w:r>
    </w:p>
    <w:p w:rsidR="00134827" w:rsidRDefault="00000000" w:rsidP="007C529C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EXPERIENCE</w:t>
      </w:r>
      <w:r w:rsidRPr="007C529C">
        <w:rPr>
          <w:rFonts w:ascii="Calibri" w:eastAsia="Calibri" w:hAnsi="Calibri" w:cs="Calibri"/>
          <w:sz w:val="21"/>
          <w:szCs w:val="21"/>
        </w:rPr>
        <w:t>.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Bank Central Asia (BCA)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September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202</w:t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6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Investment Research &amp; Portfolio Management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Conducted macroeconomic research to assess global and domestic economic conditions, monetary policy, interest rates, inflation, and their implications for investment markets.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Conducted research across fixed income, mutual funds, offshore equities, and Indonesian equities to support investment analysis and product evaluation.</w:t>
      </w:r>
    </w:p>
    <w:p w:rsidR="00A01B2D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 xml:space="preserve">Prepared daily market outlooks covering key overnight developments, </w:t>
      </w:r>
      <w:r w:rsidR="009A5EFF">
        <w:rPr>
          <w:rFonts w:asciiTheme="minorHAnsi" w:hAnsiTheme="minorHAnsi" w:cstheme="minorHAnsi"/>
          <w:sz w:val="21"/>
          <w:szCs w:val="21"/>
        </w:rPr>
        <w:t xml:space="preserve">building investment thesis, </w:t>
      </w:r>
      <w:r w:rsidRPr="007C529C">
        <w:rPr>
          <w:rFonts w:asciiTheme="minorHAnsi" w:hAnsiTheme="minorHAnsi" w:cstheme="minorHAnsi"/>
          <w:sz w:val="21"/>
          <w:szCs w:val="21"/>
        </w:rPr>
        <w:t>market movements, economic data, and potential implications for Indonesian investors.</w:t>
      </w:r>
      <w:r w:rsidR="00A01B2D">
        <w:rPr>
          <w:rFonts w:asciiTheme="minorHAnsi" w:hAnsiTheme="minorHAnsi" w:cstheme="minorHAnsi"/>
          <w:sz w:val="21"/>
          <w:szCs w:val="21"/>
        </w:rPr>
        <w:t xml:space="preserve"> </w:t>
      </w:r>
    </w:p>
    <w:p w:rsidR="007C529C" w:rsidRPr="007C529C" w:rsidRDefault="007C529C" w:rsidP="007C52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Assisted in </w:t>
      </w:r>
      <w:r w:rsidR="009A5EFF">
        <w:rPr>
          <w:rFonts w:asciiTheme="minorHAnsi" w:hAnsiTheme="minorHAnsi" w:cstheme="minorHAnsi"/>
          <w:sz w:val="21"/>
          <w:szCs w:val="21"/>
        </w:rPr>
        <w:t xml:space="preserve">building AI software dashboard for </w:t>
      </w:r>
      <w:r w:rsidRPr="007C529C">
        <w:rPr>
          <w:rFonts w:asciiTheme="minorHAnsi" w:hAnsiTheme="minorHAnsi" w:cstheme="minorHAnsi"/>
          <w:sz w:val="21"/>
          <w:szCs w:val="21"/>
        </w:rPr>
        <w:t>portfolio and investment product analysis by evaluating market conditions, asset-class performance, and relevant investment considerations for wealth management clients.</w:t>
      </w:r>
    </w:p>
    <w:p w:rsidR="00134827" w:rsidRDefault="00000000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Revalue Academy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May 2025 – July 2025</w:t>
      </w:r>
    </w:p>
    <w:p w:rsidR="00134827" w:rsidRDefault="00CB3EB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Product Intern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Designed 5 PowerPoint training modules translating Revalue Academy's REVALUE stock-selection framework into accessible financial lessons for live retail-investor classes.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Applied a visual-first, analogy-based approach to explain technical concepts such as net profit usage and dividend </w:t>
      </w:r>
      <w:proofErr w:type="spellStart"/>
      <w:r>
        <w:rPr>
          <w:rFonts w:ascii="Calibri" w:eastAsia="Calibri" w:hAnsi="Calibri" w:cs="Calibri"/>
          <w:sz w:val="21"/>
          <w:szCs w:val="21"/>
        </w:rPr>
        <w:t>payout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as intuitive visual narratives.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Converted technical valuation and capital-allocation concepts into clear, retail-facing content that improved comprehension without sacrificing accuracy.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Syailendra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Capital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February 2025 – May 2025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Project Consultant (Project Lead)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Led a student consulting team, sourced through SBM ITB Investment Club and ITB Student Consulting, to design an AI/NLP-based market intelligence framework for one of Indonesia's largest domestic asset managers.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Delivered a sentiment-aware methodology document and interactive dashboard prototype that automated financial news curation and surfaced early macroeconomic trend signals for the portfolio management team.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Handed off the proof-of-concept and methodology to the firm's investment team, providing an implementation roadmap for future production deployment.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Launchy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ab/>
        <w:t>October 2023 – May 2024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Crypto Researcher (Internship → Full-time)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Remote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Conducted bottom-up due diligence on 70+ </w:t>
      </w:r>
      <w:proofErr w:type="spellStart"/>
      <w:r>
        <w:rPr>
          <w:rFonts w:ascii="Calibri" w:eastAsia="Calibri" w:hAnsi="Calibri" w:cs="Calibri"/>
          <w:sz w:val="21"/>
          <w:szCs w:val="21"/>
        </w:rPr>
        <w:t>DePIN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(Decentralized Physical Infrastructure) projects, assessing </w:t>
      </w:r>
      <w:proofErr w:type="spellStart"/>
      <w:r>
        <w:rPr>
          <w:rFonts w:ascii="Calibri" w:eastAsia="Calibri" w:hAnsi="Calibri" w:cs="Calibri"/>
          <w:sz w:val="21"/>
          <w:szCs w:val="21"/>
        </w:rPr>
        <w:t>tokenomics</w:t>
      </w:r>
      <w:proofErr w:type="spellEnd"/>
      <w:r>
        <w:rPr>
          <w:rFonts w:ascii="Calibri" w:eastAsia="Calibri" w:hAnsi="Calibri" w:cs="Calibri"/>
          <w:sz w:val="21"/>
          <w:szCs w:val="21"/>
        </w:rPr>
        <w:t>, ecosystem viability, and yield potential to support institutional allocation decisions.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Authored monthly deal-flow reports covering 50+ crypto funding rounds, feeding directly into investment-thesis generation for VC and institutional fund clients.</w:t>
      </w:r>
    </w:p>
    <w:p w:rsidR="007C529C" w:rsidRPr="007C529C" w:rsidRDefault="00000000" w:rsidP="007C529C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Mapped the Fantom network ecosystem through on-chain analysis, visualizing protocol interconnections and identifying emerging yield opportunities</w:t>
      </w:r>
      <w:r w:rsidR="007C529C">
        <w:rPr>
          <w:rFonts w:ascii="Calibri" w:eastAsia="Calibri" w:hAnsi="Calibri" w:cs="Calibri"/>
          <w:sz w:val="21"/>
          <w:szCs w:val="21"/>
        </w:rPr>
        <w:t>.</w:t>
      </w:r>
    </w:p>
    <w:p w:rsidR="007C529C" w:rsidRDefault="007C529C">
      <w:pPr>
        <w:pBdr>
          <w:bottom w:val="single" w:sz="6" w:space="2" w:color="000000"/>
        </w:pBdr>
        <w:spacing w:before="140" w:after="60"/>
        <w:rPr>
          <w:rFonts w:ascii="Calibri" w:eastAsia="Calibri" w:hAnsi="Calibri" w:cs="Calibri"/>
          <w:b/>
          <w:bCs/>
          <w:sz w:val="22"/>
          <w:szCs w:val="22"/>
        </w:rPr>
      </w:pPr>
    </w:p>
    <w:p w:rsidR="007C529C" w:rsidRDefault="007C529C">
      <w:pPr>
        <w:pBdr>
          <w:bottom w:val="single" w:sz="6" w:space="2" w:color="000000"/>
        </w:pBdr>
        <w:spacing w:before="140" w:after="60"/>
        <w:rPr>
          <w:rFonts w:ascii="Calibri" w:eastAsia="Calibri" w:hAnsi="Calibri" w:cs="Calibri"/>
          <w:b/>
          <w:bCs/>
          <w:sz w:val="22"/>
          <w:szCs w:val="22"/>
        </w:rPr>
      </w:pPr>
    </w:p>
    <w:p w:rsidR="00134827" w:rsidRDefault="00000000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:rsidR="00134827" w:rsidRDefault="00000000">
      <w:pPr>
        <w:keepNext/>
        <w:tabs>
          <w:tab w:val="right" w:pos="1080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Institut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Teknologi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Bandung (ITB)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August 2023 – August 2026</w:t>
      </w:r>
    </w:p>
    <w:p w:rsidR="00134827" w:rsidRDefault="00000000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Bachelor of Management, School of Business and Management (SBM)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Bandung, Indonesia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Degree conferred (</w:t>
      </w:r>
      <w:proofErr w:type="spellStart"/>
      <w:r w:rsidR="00A01B2D"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>udisium</w:t>
      </w:r>
      <w:proofErr w:type="spellEnd"/>
      <w:r>
        <w:rPr>
          <w:rFonts w:ascii="Calibri" w:eastAsia="Calibri" w:hAnsi="Calibri" w:cs="Calibri"/>
          <w:sz w:val="21"/>
          <w:szCs w:val="21"/>
        </w:rPr>
        <w:t>) August 2026; formal graduation ceremony October 2026.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GPA: 3.45 / 4.00.</w:t>
      </w:r>
    </w:p>
    <w:p w:rsidR="00134827" w:rsidRDefault="00000000">
      <w:pPr>
        <w:pStyle w:val="ListParagraph"/>
        <w:keepNext/>
        <w:numPr>
          <w:ilvl w:val="0"/>
          <w:numId w:val="1"/>
        </w:numPr>
        <w:spacing w:after="30"/>
      </w:pPr>
      <w:proofErr w:type="spellStart"/>
      <w:r>
        <w:rPr>
          <w:rFonts w:ascii="Calibri" w:eastAsia="Calibri" w:hAnsi="Calibri" w:cs="Calibri"/>
          <w:sz w:val="21"/>
          <w:szCs w:val="21"/>
        </w:rPr>
        <w:t>Honors</w:t>
      </w:r>
      <w:proofErr w:type="spellEnd"/>
      <w:r>
        <w:rPr>
          <w:rFonts w:ascii="Calibri" w:eastAsia="Calibri" w:hAnsi="Calibri" w:cs="Calibri"/>
          <w:sz w:val="21"/>
          <w:szCs w:val="21"/>
        </w:rPr>
        <w:t>: Bank Indonesia Scholarship Recipient.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Relevant Coursework: Corporate Finance, Investment Analysis, Financial Statement Analysis, Strategic Management, Business Statistics.</w:t>
      </w:r>
    </w:p>
    <w:p w:rsidR="00134827" w:rsidRDefault="00CB3EBC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ORGANIZATIONAL EXPERIENCE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Kadin Indonesia</w:t>
      </w:r>
      <w:r>
        <w:rPr>
          <w:rFonts w:ascii="Calibri" w:eastAsia="Calibri" w:hAnsi="Calibri" w:cs="Calibri"/>
          <w:b/>
          <w:bCs/>
          <w:sz w:val="21"/>
          <w:szCs w:val="21"/>
        </w:rPr>
        <w:tab/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September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202</w:t>
      </w:r>
      <w:r w:rsidR="00CB3EBC">
        <w:rPr>
          <w:rFonts w:ascii="Calibri" w:eastAsia="Calibri" w:hAnsi="Calibri" w:cs="Calibri"/>
          <w:b/>
          <w:bCs/>
          <w:sz w:val="21"/>
          <w:szCs w:val="21"/>
        </w:rPr>
        <w:t>6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Product Development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A01B2D" w:rsidRPr="007C529C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Run competitor analysis across executive education and business masterclass providers, benchmarking curriculum scope, delivery format, and positioning to inform how the program is differentiated.</w:t>
      </w:r>
    </w:p>
    <w:p w:rsidR="00A01B2D" w:rsidRPr="007C529C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Develop pricing options for the CEO Masterclass, comparing tiered and bundled structures against competitor price points and the willingness to pay of the target segment.</w:t>
      </w:r>
    </w:p>
    <w:p w:rsidR="007C529C" w:rsidRPr="00A01B2D" w:rsidRDefault="00A01B2D" w:rsidP="00A01B2D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7C529C">
        <w:rPr>
          <w:rFonts w:asciiTheme="minorHAnsi" w:hAnsiTheme="minorHAnsi" w:cstheme="minorHAnsi"/>
          <w:sz w:val="21"/>
          <w:szCs w:val="21"/>
        </w:rPr>
        <w:t>Support go-to-market planning by mapping target participant segments and outlining acquisition channels and launch sequencing with the program team.</w:t>
      </w:r>
    </w:p>
    <w:p w:rsidR="007C529C" w:rsidRDefault="007C529C" w:rsidP="007C529C">
      <w:pPr>
        <w:keepNext/>
        <w:tabs>
          <w:tab w:val="right" w:pos="1080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Not Into Finance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August 2025 – Present</w:t>
      </w:r>
    </w:p>
    <w:p w:rsidR="007C529C" w:rsidRDefault="007C529C" w:rsidP="007C529C">
      <w:pPr>
        <w:keepNext/>
        <w:tabs>
          <w:tab w:val="right" w:pos="10800"/>
        </w:tabs>
        <w:spacing w:after="40"/>
      </w:pPr>
      <w:r>
        <w:rPr>
          <w:rFonts w:ascii="Calibri" w:eastAsia="Calibri" w:hAnsi="Calibri" w:cs="Calibri"/>
          <w:i/>
          <w:iCs/>
          <w:sz w:val="21"/>
          <w:szCs w:val="21"/>
        </w:rPr>
        <w:t>Founder &amp; CEO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Jakarta, Indonesia</w:t>
      </w:r>
    </w:p>
    <w:p w:rsid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Build and scale a Discord-based financial research community to 4,600+ members and 200+ paying subscribers, generating Rp50,000,000 in year-one program revenue through research subscriptions and paid investment classes averaging 500 attendees per session, ahead of full monetization.</w:t>
      </w:r>
    </w:p>
    <w:p w:rsid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Grow distribution to 10,000+ followers across Instagram and X, sustaining consistent engagement and establishing brand recognition among Indonesian retail and student investors.</w:t>
      </w:r>
    </w:p>
    <w:p w:rsidR="007C529C" w:rsidRP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Lead a 7-analyst research team through Notion-based workflows and weekly thesis reviews, publishing institutional-style research spanning Indonesian equities, macroeconomics, and digital assets.</w:t>
      </w:r>
    </w:p>
    <w:p w:rsidR="007C529C" w:rsidRPr="007C529C" w:rsidRDefault="007C529C" w:rsidP="007C529C">
      <w:pPr>
        <w:pStyle w:val="ListParagraph"/>
        <w:keepNext/>
        <w:numPr>
          <w:ilvl w:val="0"/>
          <w:numId w:val="1"/>
        </w:numPr>
        <w:spacing w:after="30"/>
      </w:pPr>
      <w:r w:rsidRPr="007C529C">
        <w:rPr>
          <w:rFonts w:ascii="Calibri" w:eastAsia="Calibri" w:hAnsi="Calibri" w:cs="Calibri"/>
          <w:sz w:val="21"/>
          <w:szCs w:val="21"/>
        </w:rPr>
        <w:t xml:space="preserve">Close 20+ partnerships, including co-hosted webinars and cross-promotions with McKinsey YLI, Samuel </w:t>
      </w:r>
      <w:proofErr w:type="spellStart"/>
      <w:r w:rsidRPr="007C529C">
        <w:rPr>
          <w:rFonts w:ascii="Calibri" w:eastAsia="Calibri" w:hAnsi="Calibri" w:cs="Calibri"/>
          <w:sz w:val="21"/>
          <w:szCs w:val="21"/>
        </w:rPr>
        <w:t>Sekuritas</w:t>
      </w:r>
      <w:proofErr w:type="spellEnd"/>
      <w:r w:rsidRPr="007C529C"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 w:rsidRPr="007C529C">
        <w:rPr>
          <w:rFonts w:ascii="Calibri" w:eastAsia="Calibri" w:hAnsi="Calibri" w:cs="Calibri"/>
          <w:sz w:val="21"/>
          <w:szCs w:val="21"/>
        </w:rPr>
        <w:t>Syailendra</w:t>
      </w:r>
      <w:proofErr w:type="spellEnd"/>
      <w:r w:rsidRPr="007C529C">
        <w:rPr>
          <w:rFonts w:ascii="Calibri" w:eastAsia="Calibri" w:hAnsi="Calibri" w:cs="Calibri"/>
          <w:sz w:val="21"/>
          <w:szCs w:val="21"/>
        </w:rPr>
        <w:t xml:space="preserve"> Capital, and leading Indonesian universities</w:t>
      </w:r>
    </w:p>
    <w:p w:rsidR="00134827" w:rsidRDefault="00000000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:rsidR="00A01B2D" w:rsidRPr="00A01B2D" w:rsidRDefault="00000000" w:rsidP="00A01B2D">
      <w:pPr>
        <w:spacing w:after="100"/>
      </w:pPr>
      <w:r>
        <w:rPr>
          <w:rFonts w:ascii="Calibri" w:eastAsia="Calibri" w:hAnsi="Calibri" w:cs="Calibri"/>
          <w:sz w:val="21"/>
          <w:szCs w:val="21"/>
        </w:rPr>
        <w:t xml:space="preserve">LSP – Wakil </w:t>
      </w:r>
      <w:proofErr w:type="spellStart"/>
      <w:r>
        <w:rPr>
          <w:rFonts w:ascii="Calibri" w:eastAsia="Calibri" w:hAnsi="Calibri" w:cs="Calibri"/>
          <w:sz w:val="21"/>
          <w:szCs w:val="21"/>
        </w:rPr>
        <w:t>Perantara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Perdagangan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(WPPE): Issued April 2026 (Indonesian Broker-Dealer Representative License).</w:t>
      </w:r>
    </w:p>
    <w:p w:rsidR="00134827" w:rsidRDefault="00000000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ACHIEVEMENTS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Equity Research Competitions: Finalist &amp; Top 4, IMPACT Maliki Equity Research Paper (2025, HOLD recommendation on PT Bank Central Asia </w:t>
      </w:r>
      <w:proofErr w:type="spellStart"/>
      <w:r>
        <w:rPr>
          <w:rFonts w:ascii="Calibri" w:eastAsia="Calibri" w:hAnsi="Calibri" w:cs="Calibri"/>
          <w:sz w:val="21"/>
          <w:szCs w:val="21"/>
        </w:rPr>
        <w:t>Tbk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– BBCA); Finalist &amp; Best Speaker, UCMC Equity Research Competition.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Entrepreneurial Grants: Selected as 1 of 3 recipients of the Ministry of Higher Education, Research, and Technology venture grant; 1 of 25 recipients in ITB Student Entrepreneurial Program.</w:t>
      </w:r>
    </w:p>
    <w:p w:rsidR="00134827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Guest Speaker: Delivered sessions on capital markets and investment topics at Lotus </w:t>
      </w:r>
      <w:proofErr w:type="spellStart"/>
      <w:r>
        <w:rPr>
          <w:rFonts w:ascii="Calibri" w:eastAsia="Calibri" w:hAnsi="Calibri" w:cs="Calibri"/>
          <w:sz w:val="21"/>
          <w:szCs w:val="21"/>
        </w:rPr>
        <w:t>Andalan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Sekuritas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Institut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Teknologi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Bandung, Universitas Indonesia, and UPN "Veteran".</w:t>
      </w:r>
    </w:p>
    <w:p w:rsidR="00134827" w:rsidRDefault="00000000">
      <w:pPr>
        <w:pBdr>
          <w:bottom w:val="single" w:sz="6" w:space="2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SKILLS &amp; TOOLS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Technical: </w:t>
      </w:r>
      <w:r>
        <w:rPr>
          <w:rFonts w:ascii="Calibri" w:eastAsia="Calibri" w:hAnsi="Calibri" w:cs="Calibri"/>
          <w:sz w:val="21"/>
          <w:szCs w:val="21"/>
        </w:rPr>
        <w:t xml:space="preserve">Financial </w:t>
      </w:r>
      <w:proofErr w:type="spellStart"/>
      <w:r>
        <w:rPr>
          <w:rFonts w:ascii="Calibri" w:eastAsia="Calibri" w:hAnsi="Calibri" w:cs="Calibri"/>
          <w:sz w:val="21"/>
          <w:szCs w:val="21"/>
        </w:rPr>
        <w:t>Modeling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(DCF, Comparable Company Analysis, Dividend Discount Model), Equity Research, Portfolio Optimization (Markowitz), Monte Carlo Simulation, Quantitative Analysis, Financial Accounting Fundamentals.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Tools: </w:t>
      </w:r>
      <w:r>
        <w:rPr>
          <w:rFonts w:ascii="Calibri" w:eastAsia="Calibri" w:hAnsi="Calibri" w:cs="Calibri"/>
          <w:sz w:val="21"/>
          <w:szCs w:val="21"/>
        </w:rPr>
        <w:t xml:space="preserve">Microsoft Excel (advanced), PowerPoint, Python (pandas, </w:t>
      </w:r>
      <w:proofErr w:type="spellStart"/>
      <w:r>
        <w:rPr>
          <w:rFonts w:ascii="Calibri" w:eastAsia="Calibri" w:hAnsi="Calibri" w:cs="Calibri"/>
          <w:sz w:val="21"/>
          <w:szCs w:val="21"/>
        </w:rPr>
        <w:t>yfinance</w:t>
      </w:r>
      <w:proofErr w:type="spellEnd"/>
      <w:r>
        <w:rPr>
          <w:rFonts w:ascii="Calibri" w:eastAsia="Calibri" w:hAnsi="Calibri" w:cs="Calibri"/>
          <w:sz w:val="21"/>
          <w:szCs w:val="21"/>
        </w:rPr>
        <w:t>, web scraping), Notion, Figma, Adobe Photoshop.</w:t>
      </w:r>
    </w:p>
    <w:p w:rsidR="0013482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Bahasa Indonesia (Native); English (Professional Working Proficiency).</w:t>
      </w:r>
    </w:p>
    <w:sectPr w:rsidR="00134827">
      <w:pgSz w:w="12240" w:h="15840"/>
      <w:pgMar w:top="56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5391"/>
    <w:multiLevelType w:val="hybridMultilevel"/>
    <w:tmpl w:val="31B67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40AB3"/>
    <w:multiLevelType w:val="hybridMultilevel"/>
    <w:tmpl w:val="67E6776E"/>
    <w:lvl w:ilvl="0" w:tplc="5016E568">
      <w:start w:val="1"/>
      <w:numFmt w:val="bullet"/>
      <w:lvlText w:val="●"/>
      <w:lvlJc w:val="left"/>
      <w:pPr>
        <w:ind w:left="720" w:hanging="360"/>
      </w:pPr>
    </w:lvl>
    <w:lvl w:ilvl="1" w:tplc="5308E90E">
      <w:start w:val="1"/>
      <w:numFmt w:val="bullet"/>
      <w:lvlText w:val="○"/>
      <w:lvlJc w:val="left"/>
      <w:pPr>
        <w:ind w:left="1440" w:hanging="360"/>
      </w:pPr>
    </w:lvl>
    <w:lvl w:ilvl="2" w:tplc="4F0AAFA6">
      <w:start w:val="1"/>
      <w:numFmt w:val="bullet"/>
      <w:lvlText w:val="■"/>
      <w:lvlJc w:val="left"/>
      <w:pPr>
        <w:ind w:left="2160" w:hanging="360"/>
      </w:pPr>
    </w:lvl>
    <w:lvl w:ilvl="3" w:tplc="0C9ACE14">
      <w:start w:val="1"/>
      <w:numFmt w:val="bullet"/>
      <w:lvlText w:val="●"/>
      <w:lvlJc w:val="left"/>
      <w:pPr>
        <w:ind w:left="2880" w:hanging="360"/>
      </w:pPr>
    </w:lvl>
    <w:lvl w:ilvl="4" w:tplc="74D46B18">
      <w:start w:val="1"/>
      <w:numFmt w:val="bullet"/>
      <w:lvlText w:val="○"/>
      <w:lvlJc w:val="left"/>
      <w:pPr>
        <w:ind w:left="3600" w:hanging="360"/>
      </w:pPr>
    </w:lvl>
    <w:lvl w:ilvl="5" w:tplc="FFBC9C30">
      <w:start w:val="1"/>
      <w:numFmt w:val="bullet"/>
      <w:lvlText w:val="■"/>
      <w:lvlJc w:val="left"/>
      <w:pPr>
        <w:ind w:left="4320" w:hanging="360"/>
      </w:pPr>
    </w:lvl>
    <w:lvl w:ilvl="6" w:tplc="761A5664">
      <w:start w:val="1"/>
      <w:numFmt w:val="bullet"/>
      <w:lvlText w:val="●"/>
      <w:lvlJc w:val="left"/>
      <w:pPr>
        <w:ind w:left="5040" w:hanging="360"/>
      </w:pPr>
    </w:lvl>
    <w:lvl w:ilvl="7" w:tplc="C624EF4E">
      <w:start w:val="1"/>
      <w:numFmt w:val="bullet"/>
      <w:lvlText w:val="●"/>
      <w:lvlJc w:val="left"/>
      <w:pPr>
        <w:ind w:left="5760" w:hanging="360"/>
      </w:pPr>
    </w:lvl>
    <w:lvl w:ilvl="8" w:tplc="4CCA747C">
      <w:start w:val="1"/>
      <w:numFmt w:val="bullet"/>
      <w:lvlText w:val="●"/>
      <w:lvlJc w:val="left"/>
      <w:pPr>
        <w:ind w:left="6480" w:hanging="360"/>
      </w:pPr>
    </w:lvl>
  </w:abstractNum>
  <w:num w:numId="1" w16cid:durableId="1672022664">
    <w:abstractNumId w:val="1"/>
    <w:lvlOverride w:ilvl="0">
      <w:startOverride w:val="1"/>
    </w:lvlOverride>
  </w:num>
  <w:num w:numId="2" w16cid:durableId="1562909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827"/>
    <w:rsid w:val="00134827"/>
    <w:rsid w:val="007C529C"/>
    <w:rsid w:val="009A5EFF"/>
    <w:rsid w:val="00A01B2D"/>
    <w:rsid w:val="00CB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8EBBA"/>
  <w15:docId w15:val="{682D8E8D-5E24-3F4C-9EA6-1D6A8D0F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7C529C"/>
    <w:rPr>
      <w:rFonts w:ascii="Helvetica" w:hAnsi="Helvetica"/>
      <w:color w:val="000000"/>
      <w:sz w:val="16"/>
      <w:szCs w:val="16"/>
    </w:rPr>
  </w:style>
  <w:style w:type="character" w:customStyle="1" w:styleId="s1">
    <w:name w:val="s1"/>
    <w:basedOn w:val="DefaultParagraphFont"/>
    <w:rsid w:val="007C529C"/>
    <w:rPr>
      <w:rFonts w:ascii="Helvetica" w:hAnsi="Helvetica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7C529C"/>
  </w:style>
  <w:style w:type="character" w:styleId="Strong">
    <w:name w:val="Strong"/>
    <w:basedOn w:val="DefaultParagraphFont"/>
    <w:uiPriority w:val="22"/>
    <w:qFormat/>
    <w:rsid w:val="007C5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atb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stagram.com/agatbe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.com/igodbe_" TargetMode="External"/><Relationship Id="rId5" Type="http://schemas.openxmlformats.org/officeDocument/2006/relationships/hyperlink" Target="https://linkedin.com/in/agatb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2026-08-16T17:19:00Z</dcterms:created>
  <dcterms:modified xsi:type="dcterms:W3CDTF">2026-10-13T07:52:00Z</dcterms:modified>
</cp:coreProperties>
</file>