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CMC/043/UND/X/2026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tabs>
          <w:tab w:val="left" w:pos="2267"/>
          <w:tab w:val="left" w:pos="2497"/>
        </w:tabs>
        <w:spacing w:after="100" w:line="264"/>
        <w:ind w:left="2497" w:hanging="1930"/>
      </w:pPr>
      <w:r>
        <w:rPr>
          <w:rFonts w:ascii="Calibri" w:cs="Calibri" w:eastAsia="Calibri" w:hAnsi="Calibri"/>
          <w:color w:val="262626"/>
        </w:rPr>
        <w:t>Poin bahasan</w:t>
        <w:tab/>
        <w:t>:</w:t>
        <w:tab/>
        <w:t>Menilai kesiapan bisnis untuk scale-up dan memilih sumber pendanaan yang sesuai.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