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CMC/035/UND/X/2026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tabs>
          <w:tab w:val="left" w:pos="2267"/>
          <w:tab w:val="left" w:pos="2497"/>
        </w:tabs>
        <w:spacing w:after="100" w:line="264"/>
        <w:ind w:left="2497" w:hanging="1930"/>
      </w:pPr>
      <w:r>
        <w:rPr>
          <w:rFonts w:ascii="Calibri" w:cs="Calibri" w:eastAsia="Calibri" w:hAnsi="Calibri"/>
          <w:color w:val="262626"/>
        </w:rPr>
        <w:t>Poin bahasan</w:t>
        <w:tab/>
        <w:t>:</w:t>
        <w:tab/>
        <w:t>Kapan bisnis perlu bertahan, kapan perlu mengubah arah, dan pelajaran dari keputusan yang tidak berhasil.</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Sambal Bakar Indonesia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