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CMC/042/UND/X/2026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tabs>
          <w:tab w:val="left" w:pos="2267"/>
          <w:tab w:val="left" w:pos="2497"/>
        </w:tabs>
        <w:spacing w:after="100" w:line="264"/>
        <w:ind w:left="2497" w:hanging="1930"/>
      </w:pPr>
      <w:r>
        <w:rPr>
          <w:rFonts w:ascii="Calibri" w:cs="Calibri" w:eastAsia="Calibri" w:hAnsi="Calibri"/>
          <w:color w:val="262626"/>
        </w:rPr>
        <w:t>Poin bahasan</w:t>
        <w:tab/>
        <w:t>:</w:t>
        <w:tab/>
        <w:t>Memahami arus kas, modal kerja, dan penyebab bisnis untung tetapi kekurangan kas.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