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Relazione trimestrale — Logistica Adriatica S.r.l.</w:t>
      </w:r>
    </w:p>
    <w:p>
      <w:r>
        <w:t>Ancona, 7 giugno 2026</w:t>
      </w:r>
    </w:p>
    <w:p>
      <w:commentRangeStart w:id="0"/>
      <w:r>
        <w:t>Nel terzo trimestre i ricavi complessivi sono stati pari a 7.178 migliaia di euro¹, in linea con il piano.</w:t>
      </w:r>
      <w:commentRangeEnd w:id="0"/>
      <w:r>
        <w:rPr>
          <w:rStyle w:val="CommentReference"/>
        </w:rPr>
        <w:commentReference w:id="0"/>
      </w:r>
    </w:p>
    <w:p>
      <w:r>
        <w:t>La tabella riporta ricavi e margine per area geografica; il grafico mostra gli stessi ricavi.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Area</w:t>
            </w:r>
          </w:p>
        </w:tc>
        <w:tc>
          <w:tcPr>
            <w:tcW w:type="dxa" w:w="2880"/>
          </w:tcPr>
          <w:p>
            <w:r>
              <w:t>Ricavi</w:t>
            </w:r>
          </w:p>
        </w:tc>
        <w:tc>
          <w:tcPr>
            <w:tcW w:type="dxa" w:w="2880"/>
          </w:tcPr>
          <w:p>
            <w:r>
              <w:t>Margine %</w:t>
            </w:r>
          </w:p>
        </w:tc>
      </w:tr>
      <w:tr>
        <w:tc>
          <w:tcPr>
            <w:tcW w:type="dxa" w:w="2880"/>
          </w:tcPr>
          <w:p>
            <w:r>
              <w:t>Nord-Ovest</w:t>
            </w:r>
          </w:p>
        </w:tc>
        <w:tc>
          <w:tcPr>
            <w:tcW w:type="dxa" w:w="2880"/>
          </w:tcPr>
          <w:p>
            <w:r>
              <w:t>2.288</w:t>
            </w:r>
          </w:p>
        </w:tc>
        <w:tc>
          <w:tcPr>
            <w:tcW w:type="dxa" w:w="2880"/>
          </w:tcPr>
          <w:p>
            <w:r>
              <w:t>22,1</w:t>
            </w:r>
          </w:p>
        </w:tc>
      </w:tr>
      <w:tr>
        <w:tc>
          <w:tcPr>
            <w:tcW w:type="dxa" w:w="2880"/>
          </w:tcPr>
          <w:p>
            <w:r>
              <w:t>Nord-Est</w:t>
            </w:r>
          </w:p>
        </w:tc>
        <w:tc>
          <w:tcPr>
            <w:tcW w:type="dxa" w:w="2880"/>
          </w:tcPr>
          <w:p>
            <w:r>
              <w:t>818</w:t>
            </w:r>
          </w:p>
        </w:tc>
        <w:tc>
          <w:tcPr>
            <w:tcW w:type="dxa" w:w="2880"/>
          </w:tcPr>
          <w:p>
            <w:r>
              <w:t>22,2</w:t>
            </w:r>
          </w:p>
        </w:tc>
      </w:tr>
      <w:tr>
        <w:tc>
          <w:tcPr>
            <w:tcW w:type="dxa" w:w="2880"/>
          </w:tcPr>
          <w:p>
            <w:r>
              <w:t>Estero</w:t>
            </w:r>
          </w:p>
        </w:tc>
        <w:tc>
          <w:tcPr>
            <w:tcW w:type="dxa" w:w="2880"/>
          </w:tcPr>
          <w:p>
            <w:r>
              <w:t>1.397</w:t>
            </w:r>
          </w:p>
        </w:tc>
        <w:tc>
          <w:tcPr>
            <w:tcW w:type="dxa" w:w="2880"/>
          </w:tcPr>
          <w:p>
            <w:r>
              <w:t>20,5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754880" cy="2560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¹ Tutti i valori sono espressi in migliaia di euro.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Marco Sala" w:initials="MS" w:date="2026-10-18T06:11:45Z">
    <w:p>
      <w:pPr>
        <w:pStyle w:val="CommentText"/>
      </w:pPr>
      <w:r>
        <w:rPr>
          <w:rStyle w:val="CommentReference"/>
        </w:rPr>
        <w:annotationRef/>
      </w:r>
      <w:r>
        <w:t>Il dato corretto del Q3 è 7.169: nel testo c'è un errore di battitura.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