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Relazione trimestrale — Ferramenta Russo &amp; Figli</w:t>
      </w:r>
    </w:p>
    <w:p>
      <w:r>
        <w:t>Napoli, 2 maggio 2026</w:t>
      </w:r>
    </w:p>
    <w:p>
      <w:commentRangeStart w:id="0"/>
      <w:r>
        <w:t>Nel terzo trimestre i ricavi complessivi sono stati pari a 6.102 migliaia di euro¹, in linea con il piano.</w:t>
      </w:r>
      <w:commentRangeEnd w:id="0"/>
      <w:r>
        <w:rPr>
          <w:rStyle w:val="CommentReference"/>
        </w:rPr>
        <w:commentReference w:id="0"/>
      </w:r>
    </w:p>
    <w:p>
      <w:r>
        <w:t>La tabella riporta ricavi e margine per area geografica; il grafico mostra gli stessi ricavi.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Ricavi</w:t>
            </w:r>
          </w:p>
        </w:tc>
        <w:tc>
          <w:tcPr>
            <w:tcW w:type="dxa" w:w="2880"/>
          </w:tcPr>
          <w:p>
            <w:r>
              <w:t>Margine %</w:t>
            </w:r>
          </w:p>
        </w:tc>
      </w:tr>
      <w:tr>
        <w:tc>
          <w:tcPr>
            <w:tcW w:type="dxa" w:w="2880"/>
          </w:tcPr>
          <w:p>
            <w:r>
              <w:t>Isole</w:t>
            </w:r>
          </w:p>
        </w:tc>
        <w:tc>
          <w:tcPr>
            <w:tcW w:type="dxa" w:w="2880"/>
          </w:tcPr>
          <w:p>
            <w:r>
              <w:t>491</w:t>
            </w:r>
          </w:p>
        </w:tc>
        <w:tc>
          <w:tcPr>
            <w:tcW w:type="dxa" w:w="2880"/>
          </w:tcPr>
          <w:p>
            <w:r>
              <w:t>18,3</w:t>
            </w:r>
          </w:p>
        </w:tc>
      </w:tr>
      <w:tr>
        <w:tc>
          <w:tcPr>
            <w:tcW w:type="dxa" w:w="2880"/>
          </w:tcPr>
          <w:p>
            <w:r>
              <w:t>Nord-Est</w:t>
            </w:r>
          </w:p>
        </w:tc>
        <w:tc>
          <w:tcPr>
            <w:tcW w:type="dxa" w:w="2880"/>
          </w:tcPr>
          <w:p>
            <w:r>
              <w:t>1.878</w:t>
            </w:r>
          </w:p>
        </w:tc>
        <w:tc>
          <w:tcPr>
            <w:tcW w:type="dxa" w:w="2880"/>
          </w:tcPr>
          <w:p>
            <w:r>
              <w:t>7,4</w:t>
            </w:r>
          </w:p>
        </w:tc>
      </w:tr>
      <w:tr>
        <w:tc>
          <w:tcPr>
            <w:tcW w:type="dxa" w:w="2880"/>
          </w:tcPr>
          <w:p>
            <w:r>
              <w:t>Sud</w:t>
            </w:r>
          </w:p>
        </w:tc>
        <w:tc>
          <w:tcPr>
            <w:tcW w:type="dxa" w:w="2880"/>
          </w:tcPr>
          <w:p>
            <w:r>
              <w:t>715</w:t>
            </w:r>
          </w:p>
        </w:tc>
        <w:tc>
          <w:tcPr>
            <w:tcW w:type="dxa" w:w="2880"/>
          </w:tcPr>
          <w:p>
            <w:r>
              <w:t>20,1</w:t>
            </w:r>
          </w:p>
        </w:tc>
      </w:tr>
      <w:tr>
        <w:tc>
          <w:tcPr>
            <w:tcW w:type="dxa" w:w="2880"/>
          </w:tcPr>
          <w:p>
            <w:r>
              <w:t>Centro</w:t>
            </w:r>
          </w:p>
        </w:tc>
        <w:tc>
          <w:tcPr>
            <w:tcW w:type="dxa" w:w="2880"/>
          </w:tcPr>
          <w:p>
            <w:r>
              <w:t>1.846</w:t>
            </w:r>
          </w:p>
        </w:tc>
        <w:tc>
          <w:tcPr>
            <w:tcW w:type="dxa" w:w="2880"/>
          </w:tcPr>
          <w:p>
            <w:r>
              <w:t>22,6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75488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¹ Tutti i valori sono espressi in migliaia di euro.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Marco Sala" w:initials="MS" w:date="2026-10-19T06:13:06Z">
    <w:p>
      <w:pPr>
        <w:pStyle w:val="CommentText"/>
      </w:pPr>
      <w:r>
        <w:rPr>
          <w:rStyle w:val="CommentReference"/>
        </w:rPr>
        <w:annotationRef/>
      </w:r>
      <w:r>
        <w:t>Il dato corretto del Q3 è 6.192: nel testo c'è un errore di battitura.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