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Relazione trimestrale — Logistica Adriatica S.r.l.</w:t>
      </w:r>
    </w:p>
    <w:p>
      <w:r>
        <w:t>Ancona, 26 gennaio 2026</w:t>
      </w:r>
    </w:p>
    <w:p>
      <w:commentRangeStart w:id="0"/>
      <w:r>
        <w:t>Nel terzo trimestre i ricavi complessivi sono stati pari a 4.139 migliaia di euro¹, in linea con il piano.</w:t>
      </w:r>
      <w:commentRangeEnd w:id="0"/>
      <w:r>
        <w:rPr>
          <w:rStyle w:val="CommentReference"/>
        </w:rPr>
        <w:commentReference w:id="0"/>
      </w:r>
    </w:p>
    <w:p>
      <w:r>
        <w:t>La tabella riporta ricavi e margine per area geografica; il grafico mostra gli stessi ricavi.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Ricavi</w:t>
            </w:r>
          </w:p>
        </w:tc>
        <w:tc>
          <w:tcPr>
            <w:tcW w:type="dxa" w:w="2880"/>
          </w:tcPr>
          <w:p>
            <w:r>
              <w:t>Margine %</w:t>
            </w:r>
          </w:p>
        </w:tc>
      </w:tr>
      <w:tr>
        <w:tc>
          <w:tcPr>
            <w:tcW w:type="dxa" w:w="2880"/>
          </w:tcPr>
          <w:p>
            <w:r>
              <w:t>Sud</w:t>
            </w:r>
          </w:p>
        </w:tc>
        <w:tc>
          <w:tcPr>
            <w:tcW w:type="dxa" w:w="2880"/>
          </w:tcPr>
          <w:p>
            <w:r>
              <w:t>347</w:t>
            </w:r>
          </w:p>
        </w:tc>
        <w:tc>
          <w:tcPr>
            <w:tcW w:type="dxa" w:w="2880"/>
          </w:tcPr>
          <w:p>
            <w:r>
              <w:t>5,4</w:t>
            </w:r>
          </w:p>
        </w:tc>
      </w:tr>
      <w:tr>
        <w:tc>
          <w:tcPr>
            <w:tcW w:type="dxa" w:w="2880"/>
          </w:tcPr>
          <w:p>
            <w:r>
              <w:t>Centro</w:t>
            </w:r>
          </w:p>
        </w:tc>
        <w:tc>
          <w:tcPr>
            <w:tcW w:type="dxa" w:w="2880"/>
          </w:tcPr>
          <w:p>
            <w:r>
              <w:t>1.601</w:t>
            </w:r>
          </w:p>
        </w:tc>
        <w:tc>
          <w:tcPr>
            <w:tcW w:type="dxa" w:w="2880"/>
          </w:tcPr>
          <w:p>
            <w:r>
              <w:t>16,3</w:t>
            </w:r>
          </w:p>
        </w:tc>
      </w:tr>
      <w:tr>
        <w:tc>
          <w:tcPr>
            <w:tcW w:type="dxa" w:w="2880"/>
          </w:tcPr>
          <w:p>
            <w:r>
              <w:t>Nord-Est</w:t>
            </w:r>
          </w:p>
        </w:tc>
        <w:tc>
          <w:tcPr>
            <w:tcW w:type="dxa" w:w="2880"/>
          </w:tcPr>
          <w:p>
            <w:r>
              <w:t>1.298</w:t>
            </w:r>
          </w:p>
        </w:tc>
        <w:tc>
          <w:tcPr>
            <w:tcW w:type="dxa" w:w="2880"/>
          </w:tcPr>
          <w:p>
            <w:r>
              <w:t>24,8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754880" cy="2560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¹ Tutti i valori sono espressi in migliaia di euro.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Marco Sala" w:initials="MS" w:date="2026-10-17T14:39:02Z">
    <w:p>
      <w:pPr>
        <w:pStyle w:val="CommentText"/>
      </w:pPr>
      <w:r>
        <w:rPr>
          <w:rStyle w:val="CommentReference"/>
        </w:rPr>
        <w:annotationRef/>
      </w:r>
      <w:r>
        <w:t>Il dato corretto del Q3 è 4.148: nel testo c'è un errore di battitura.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