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Fenwick Group - Q3 divisional summary</w:t>
      </w:r>
    </w:p>
    <w:p>
      <w:r>
        <w:t>The Aldgate division closed the quarter with a headcount of 61.</w:t>
      </w:r>
    </w:p>
    <w:p>
      <w:r>
        <w:t>The Kestrel division closed the quarter with a headcount of 148.</w:t>
      </w:r>
    </w:p>
    <w:p>
      <w:r>
        <w:t>The Brambling division closed the quarter with a headcount of 94.</w:t>
      </w:r>
    </w:p>
    <w:p>
      <w:r>
        <w:t>Headcount is reported at quarter end and excludes contractors.</w:t>
      </w:r>
    </w:p>
  </w:body>
</w:document>
</file>