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C1421" w14:textId="0CB29CEE" w:rsidR="00D41274" w:rsidRPr="0071275B" w:rsidRDefault="00AC6FDE" w:rsidP="00FA6751">
      <w:pPr>
        <w:pStyle w:val="IEEETitle"/>
      </w:pPr>
      <w:r>
        <w:t>Statistical Analysis on TRA Report 2020</w:t>
      </w:r>
    </w:p>
    <w:p w14:paraId="231C1423" w14:textId="44C11038" w:rsidR="00D41274" w:rsidRPr="0071275B" w:rsidRDefault="004812C0" w:rsidP="004812C0">
      <w:pPr>
        <w:pStyle w:val="IEEEAuthorName"/>
      </w:pPr>
      <w:r>
        <w:t>Nachiket Rao</w:t>
      </w:r>
    </w:p>
    <w:p w14:paraId="231C1424" w14:textId="6BB89170" w:rsidR="00D41274" w:rsidRPr="004812C0" w:rsidRDefault="004812C0" w:rsidP="00D41274">
      <w:pPr>
        <w:pStyle w:val="IEEEAuthorEmail"/>
      </w:pPr>
      <w:r>
        <w:t>S3827657@student.rmit.edu.au</w:t>
      </w:r>
    </w:p>
    <w:p w14:paraId="231C1428" w14:textId="77777777" w:rsidR="00D41274" w:rsidRPr="00D41274" w:rsidRDefault="00D41274" w:rsidP="00D41274"/>
    <w:p w14:paraId="231C142D" w14:textId="7CC72B9B" w:rsidR="00AD335D" w:rsidRDefault="00964147" w:rsidP="00081EBE">
      <w:pPr>
        <w:pStyle w:val="IEEEHeading1"/>
      </w:pPr>
      <w:r>
        <w:t>Quantitative Data</w:t>
      </w:r>
    </w:p>
    <w:p w14:paraId="53A16AB0" w14:textId="77777777" w:rsidR="00960730" w:rsidRDefault="00960730" w:rsidP="00960730">
      <w:pPr>
        <w:pStyle w:val="IEEEParagraph"/>
      </w:pPr>
      <w:r>
        <w:t>a.</w:t>
      </w:r>
      <w:r>
        <w:tab/>
        <w:t>Using table 2a from IVS results, it can be observed that even though education covers only 6.79% of the total visitors, the total trip expenditure is 29% just shy of the 38% expenditure on holiday</w:t>
      </w:r>
    </w:p>
    <w:p w14:paraId="7286B3FB" w14:textId="77777777" w:rsidR="00960730" w:rsidRDefault="00960730" w:rsidP="00960730">
      <w:pPr>
        <w:pStyle w:val="IEEEParagraph"/>
      </w:pPr>
      <w:r>
        <w:t>b.</w:t>
      </w:r>
      <w:r>
        <w:tab/>
        <w:t xml:space="preserve">Visualizing the trip expenditure on 2018 and 2019 indicates that that there </w:t>
      </w:r>
      <w:proofErr w:type="gramStart"/>
      <w:r>
        <w:t>isn’t</w:t>
      </w:r>
      <w:proofErr w:type="gramEnd"/>
      <w:r>
        <w:t xml:space="preserve"> a huge difference between the 2 years</w:t>
      </w:r>
    </w:p>
    <w:p w14:paraId="34B3A06A" w14:textId="77777777" w:rsidR="00960730" w:rsidRDefault="00960730" w:rsidP="00960730">
      <w:pPr>
        <w:pStyle w:val="IEEEParagraph"/>
      </w:pPr>
      <w:r>
        <w:t>c.</w:t>
      </w:r>
      <w:r>
        <w:tab/>
        <w:t>China and India have the highest median and average nights stayed while China and US have the highest average expenditure per night</w:t>
      </w:r>
    </w:p>
    <w:p w14:paraId="231C142E" w14:textId="6A1DE2A3" w:rsidR="00DD7F83" w:rsidRDefault="00960730" w:rsidP="00960730">
      <w:pPr>
        <w:pStyle w:val="IEEEParagraph"/>
      </w:pPr>
      <w:r>
        <w:t>d.</w:t>
      </w:r>
      <w:r>
        <w:tab/>
        <w:t>Highest number of visitors come from China and New Zealand while China accounts for the highest spend by a country as observed from table 1a</w:t>
      </w:r>
    </w:p>
    <w:p w14:paraId="231C142F" w14:textId="17E3A501" w:rsidR="00081EBE" w:rsidRDefault="00960730" w:rsidP="00081EBE">
      <w:pPr>
        <w:pStyle w:val="IEEEHeading1"/>
      </w:pPr>
      <w:r>
        <w:t>Qualitative Data</w:t>
      </w:r>
    </w:p>
    <w:p w14:paraId="0381C1B8" w14:textId="77777777" w:rsidR="009A0B29" w:rsidRDefault="009A0B29" w:rsidP="009A0B29">
      <w:pPr>
        <w:pStyle w:val="IEEEParagraph"/>
      </w:pPr>
      <w:r>
        <w:t>a.</w:t>
      </w:r>
      <w:r>
        <w:tab/>
        <w:t>While international visitor numbers remain stable, Australian tourism industry struggles to attract domestic visitors. Reasons stated in the Article on page 6 of the TRA report include 30% of Australians born overseas who travel internationally to meet friends and relatives. Technology is also observed to be a disruptor in this area with younger generation exposed to the international destination through #wanderlust and influencer movement on social media</w:t>
      </w:r>
    </w:p>
    <w:p w14:paraId="23F1656B" w14:textId="77777777" w:rsidR="009A0B29" w:rsidRDefault="009A0B29" w:rsidP="009A0B29">
      <w:pPr>
        <w:pStyle w:val="IEEEParagraph"/>
      </w:pPr>
      <w:r>
        <w:t>b.</w:t>
      </w:r>
      <w:r>
        <w:tab/>
        <w:t xml:space="preserve">Page 14 primarily talks about inclusive tourism. A greater market segment can be captured by catering to the accessibility needs of the visiting population. An example is provided where a wheelchair bound individual would not prefer visiting if the information about the available amenities concerning his needs are not publicized thus reducing the number of visitors in that category. </w:t>
      </w:r>
    </w:p>
    <w:p w14:paraId="231C1436" w14:textId="7ECC8ED6" w:rsidR="008E5996" w:rsidRDefault="009A0B29" w:rsidP="009A0B29">
      <w:pPr>
        <w:pStyle w:val="IEEEParagraph"/>
      </w:pPr>
      <w:r>
        <w:t>c.</w:t>
      </w:r>
      <w:r>
        <w:tab/>
        <w:t xml:space="preserve">Regional areas have comparatively </w:t>
      </w:r>
      <w:proofErr w:type="gramStart"/>
      <w:r>
        <w:t>less</w:t>
      </w:r>
      <w:proofErr w:type="gramEnd"/>
      <w:r>
        <w:t xml:space="preserve"> number of visitors as observed in Table 10a and 10b. An analysis on this is provided on page 14 wherein the report talks about the challenges which </w:t>
      </w:r>
      <w:r>
        <w:t xml:space="preserve">include </w:t>
      </w:r>
      <w:proofErr w:type="spellStart"/>
      <w:r>
        <w:t>labor</w:t>
      </w:r>
      <w:proofErr w:type="spellEnd"/>
      <w:r>
        <w:t xml:space="preserve"> shortages, vast distances between regional cities and a lack of awareness on the offerings of regional Australia</w:t>
      </w:r>
    </w:p>
    <w:p w14:paraId="231C1437" w14:textId="7555809F" w:rsidR="008E5996" w:rsidRDefault="00F203B7" w:rsidP="004E452A">
      <w:pPr>
        <w:pStyle w:val="IEEEHeading1"/>
      </w:pPr>
      <w:r w:rsidRPr="00F203B7">
        <w:t>How comprehensive and complete is the data?  Do you think there may be any missing data?</w:t>
      </w:r>
    </w:p>
    <w:p w14:paraId="7E896283" w14:textId="77777777" w:rsidR="00D61712" w:rsidRDefault="00D61712" w:rsidP="00D61712">
      <w:pPr>
        <w:pStyle w:val="IEEEParagraph"/>
      </w:pPr>
      <w:r>
        <w:t>The data as well as the data analysis is exhaustive. The report covers a broad range of attributes and appropriately disseminates them into segments categorized by state, country, type of visit, expenditure (spend) and visitor nights. However, there are certain aspects that the report fails to elaborate upon –</w:t>
      </w:r>
    </w:p>
    <w:p w14:paraId="779539B1" w14:textId="77777777" w:rsidR="00D61712" w:rsidRDefault="00D61712" w:rsidP="00D61712">
      <w:pPr>
        <w:pStyle w:val="IEEEParagraph"/>
      </w:pPr>
      <w:r>
        <w:t>1.</w:t>
      </w:r>
      <w:r>
        <w:tab/>
        <w:t xml:space="preserve">The IVS result excel sheet does not include the data on tourism workforce. TRA report talks about the hurdles in securing a workforce in the tourism sector namely – low pay, </w:t>
      </w:r>
      <w:proofErr w:type="spellStart"/>
      <w:r>
        <w:t>unfavorable</w:t>
      </w:r>
      <w:proofErr w:type="spellEnd"/>
      <w:r>
        <w:t xml:space="preserve"> hours, low percent of skilled workers. An interesting correlation could have been made between this and the large number of student population that reside in Australia who depend on jobs to sustain their living.</w:t>
      </w:r>
    </w:p>
    <w:p w14:paraId="248C79FA" w14:textId="77777777" w:rsidR="008F526A" w:rsidRDefault="00D61712" w:rsidP="00D61712">
      <w:pPr>
        <w:pStyle w:val="IEEEParagraph"/>
      </w:pPr>
      <w:r>
        <w:t>2.</w:t>
      </w:r>
      <w:r>
        <w:tab/>
        <w:t>The age range is not explicitly specified in the TRA report or the IVS survey. The estimates are given for visitors aged 15 and over. A detailed analysis categorizing visitors by age and cross referencing that with main reason for visiting Australia would have made an interesting segment to be included in the TRA report.</w:t>
      </w:r>
    </w:p>
    <w:p w14:paraId="3C302571" w14:textId="6F739674" w:rsidR="008F526A" w:rsidRDefault="00550457" w:rsidP="008F526A">
      <w:pPr>
        <w:pStyle w:val="IEEEHeading1"/>
      </w:pPr>
      <w:r w:rsidRPr="00550457">
        <w:t>The authors of the report have produced an analysis which primarily compares profit from 2018 with profit made in 2019.  On the whole was the profit increasing? What does the report say about this?</w:t>
      </w:r>
    </w:p>
    <w:p w14:paraId="17E0EB5D" w14:textId="77777777" w:rsidR="00567B7B" w:rsidRDefault="00567B7B" w:rsidP="008F526A">
      <w:pPr>
        <w:pStyle w:val="IEEEParagraph"/>
      </w:pPr>
    </w:p>
    <w:p w14:paraId="0D521BE2" w14:textId="6BD83DB2" w:rsidR="00567B7B" w:rsidRDefault="00567B7B" w:rsidP="008F526A">
      <w:pPr>
        <w:pStyle w:val="IEEEParagraph"/>
      </w:pPr>
      <w:r w:rsidRPr="00567B7B">
        <w:t xml:space="preserve">On page 5, the TRA report says that there was a slight increase (up 3%) in visitors in 2019 with a slightly greater increase in expenditure (up 5%). Upon observing the excel sheets, there </w:t>
      </w:r>
      <w:proofErr w:type="gramStart"/>
      <w:r w:rsidRPr="00567B7B">
        <w:t>isn’t</w:t>
      </w:r>
      <w:proofErr w:type="gramEnd"/>
      <w:r w:rsidRPr="00567B7B">
        <w:t xml:space="preserve"> any remarkable increase in any of the factors from 2018 to 2019, the percent increase numbers varying from 1 to 7% as well as occasional minimal percent decreases.</w:t>
      </w:r>
    </w:p>
    <w:p w14:paraId="231C1438" w14:textId="6BD83DB2" w:rsidR="008E5996" w:rsidRDefault="008F526A" w:rsidP="008F526A">
      <w:pPr>
        <w:pStyle w:val="IEEEParagraph"/>
      </w:pPr>
      <w:r>
        <w:t>analysis categorizing visitors by age and cross referencing that with main reason for visiting Australia would have made an interesting segment to be included in the TRA report.</w:t>
      </w:r>
      <w:r w:rsidR="009B12BE">
        <w:tab/>
      </w:r>
    </w:p>
    <w:p w14:paraId="231C1439" w14:textId="77777777" w:rsidR="00C06BB4" w:rsidRDefault="00C06BB4" w:rsidP="00C06BB4">
      <w:pPr>
        <w:pStyle w:val="IEEEHeading2"/>
        <w:numPr>
          <w:ilvl w:val="0"/>
          <w:numId w:val="39"/>
        </w:numPr>
      </w:pPr>
      <w:r>
        <w:t>Text Font of Entire Document</w:t>
      </w:r>
    </w:p>
    <w:p w14:paraId="231C143A" w14:textId="77777777" w:rsidR="00C06BB4" w:rsidRDefault="00C06BB4" w:rsidP="00C06BB4">
      <w:pPr>
        <w:pStyle w:val="IEEEParagraph"/>
      </w:pPr>
      <w:r>
        <w:lastRenderedPageBreak/>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14:paraId="231C143B" w14:textId="77777777" w:rsidR="00C06BB4" w:rsidRDefault="00C06BB4" w:rsidP="00C06BB4">
      <w:pPr>
        <w:pStyle w:val="IEEEParagraph"/>
      </w:pPr>
      <w:r>
        <w:t>Recommended font size</w:t>
      </w:r>
      <w:r w:rsidR="00A03E75">
        <w:t xml:space="preserve">s are shown in </w:t>
      </w:r>
      <w:r w:rsidR="00224C61">
        <w:t>T</w:t>
      </w:r>
      <w:r w:rsidR="00A03E75">
        <w:t>able 1.</w:t>
      </w:r>
    </w:p>
    <w:p w14:paraId="231C143C" w14:textId="77777777" w:rsidR="00542C85" w:rsidRDefault="007069BE" w:rsidP="00542C85">
      <w:pPr>
        <w:pStyle w:val="IEEEHeading2"/>
        <w:numPr>
          <w:ilvl w:val="0"/>
          <w:numId w:val="39"/>
        </w:numPr>
      </w:pPr>
      <w:r>
        <w:t>Title a</w:t>
      </w:r>
      <w:r w:rsidR="00542C85">
        <w:t>nd Author Details</w:t>
      </w:r>
    </w:p>
    <w:p w14:paraId="231C143D" w14:textId="77777777" w:rsidR="00F20BBB" w:rsidRDefault="007F75CA" w:rsidP="00F20BBB">
      <w:pPr>
        <w:pStyle w:val="IEEEParagraph"/>
      </w:pPr>
      <w:r>
        <w:t xml:space="preserve">Title must be in 24 </w:t>
      </w:r>
      <w:proofErr w:type="spellStart"/>
      <w:r>
        <w:t>pt</w:t>
      </w:r>
      <w:proofErr w:type="spellEnd"/>
      <w:r>
        <w:t xml:space="preserve"> Regular</w:t>
      </w:r>
      <w:r w:rsidR="00F20BBB">
        <w:t xml:space="preserve"> font.  Author name must be in 11 </w:t>
      </w:r>
      <w:proofErr w:type="spellStart"/>
      <w:r w:rsidR="00F20BBB">
        <w:t>pt</w:t>
      </w:r>
      <w:proofErr w:type="spellEnd"/>
      <w:r w:rsidR="00F20BBB">
        <w:t xml:space="preserve"> Regular font.  Author affiliation must be in 10 </w:t>
      </w:r>
      <w:proofErr w:type="spellStart"/>
      <w:r w:rsidR="00F20BBB">
        <w:t>pt</w:t>
      </w:r>
      <w:proofErr w:type="spellEnd"/>
      <w:r w:rsidR="00F20BBB">
        <w:t xml:space="preserve"> Italic.  Email address must be in 9 </w:t>
      </w:r>
      <w:proofErr w:type="spellStart"/>
      <w:r w:rsidR="00F20BBB">
        <w:t>pt</w:t>
      </w:r>
      <w:proofErr w:type="spellEnd"/>
      <w:r w:rsidR="00F20BBB">
        <w:t xml:space="preserve"> Courier Regular font.</w:t>
      </w:r>
    </w:p>
    <w:p w14:paraId="231C143E" w14:textId="77777777" w:rsidR="00B94516" w:rsidRDefault="00B94516" w:rsidP="00F20BBB">
      <w:pPr>
        <w:pStyle w:val="IEEEParagraph"/>
      </w:pPr>
    </w:p>
    <w:p w14:paraId="231C143F" w14:textId="77777777" w:rsidR="00273D2C" w:rsidRDefault="00527D56" w:rsidP="00527D56">
      <w:pPr>
        <w:pStyle w:val="IEEETableCaption"/>
      </w:pPr>
      <w:r>
        <w:t xml:space="preserve">TABLE </w:t>
      </w:r>
      <w:r w:rsidR="00A67BB9">
        <w:fldChar w:fldCharType="begin"/>
      </w:r>
      <w:r w:rsidR="00A67BB9">
        <w:instrText xml:space="preserve"> SEQ TABLE \* ROMAN </w:instrText>
      </w:r>
      <w:r w:rsidR="00A67BB9">
        <w:fldChar w:fldCharType="separate"/>
      </w:r>
      <w:r w:rsidR="00042F9F">
        <w:rPr>
          <w:noProof/>
        </w:rPr>
        <w:t>I</w:t>
      </w:r>
      <w:r w:rsidR="00A67BB9">
        <w:rPr>
          <w:noProof/>
        </w:rPr>
        <w:fldChar w:fldCharType="end"/>
      </w:r>
      <w:r>
        <w:br w:type="textWrapping" w:clear="all"/>
      </w:r>
      <w:r w:rsidR="00273D2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231C1442" w14:textId="77777777" w:rsidTr="00D414FE">
        <w:trPr>
          <w:jc w:val="center"/>
        </w:trPr>
        <w:tc>
          <w:tcPr>
            <w:tcW w:w="580" w:type="dxa"/>
            <w:vMerge w:val="restart"/>
            <w:shd w:val="clear" w:color="auto" w:fill="auto"/>
          </w:tcPr>
          <w:p w14:paraId="231C1440" w14:textId="77777777" w:rsidR="00273D2C" w:rsidRPr="00C012E1" w:rsidRDefault="00273D2C" w:rsidP="00D36B52">
            <w:pPr>
              <w:pStyle w:val="IEEETableHeaderLeft-Justified"/>
            </w:pPr>
            <w:r>
              <w:t>Font S</w:t>
            </w:r>
            <w:r w:rsidRPr="00C012E1">
              <w:t>ize</w:t>
            </w:r>
          </w:p>
        </w:tc>
        <w:tc>
          <w:tcPr>
            <w:tcW w:w="4447" w:type="dxa"/>
            <w:gridSpan w:val="3"/>
            <w:shd w:val="clear" w:color="auto" w:fill="auto"/>
          </w:tcPr>
          <w:p w14:paraId="231C1441" w14:textId="77777777" w:rsidR="00273D2C" w:rsidRPr="00C012E1" w:rsidRDefault="00273D2C" w:rsidP="00D36B52">
            <w:pPr>
              <w:pStyle w:val="IEEETableHeaderCentered"/>
            </w:pPr>
            <w:r w:rsidRPr="00C012E1">
              <w:t>Appearance</w:t>
            </w:r>
            <w:r>
              <w:t xml:space="preserve"> (in Time New Roman or Times)</w:t>
            </w:r>
          </w:p>
        </w:tc>
      </w:tr>
      <w:tr w:rsidR="00273D2C" w14:paraId="231C1447" w14:textId="77777777" w:rsidTr="00D414FE">
        <w:trPr>
          <w:jc w:val="center"/>
        </w:trPr>
        <w:tc>
          <w:tcPr>
            <w:tcW w:w="580" w:type="dxa"/>
            <w:vMerge/>
            <w:shd w:val="clear" w:color="auto" w:fill="auto"/>
          </w:tcPr>
          <w:p w14:paraId="231C1443" w14:textId="77777777" w:rsidR="00273D2C" w:rsidRPr="00D414FE" w:rsidRDefault="00273D2C" w:rsidP="00E47D0E">
            <w:pPr>
              <w:pStyle w:val="IEEETableCell"/>
              <w:rPr>
                <w:b/>
                <w:bCs/>
              </w:rPr>
            </w:pPr>
          </w:p>
        </w:tc>
        <w:tc>
          <w:tcPr>
            <w:tcW w:w="1762" w:type="dxa"/>
            <w:shd w:val="clear" w:color="auto" w:fill="auto"/>
          </w:tcPr>
          <w:p w14:paraId="231C1444" w14:textId="77777777" w:rsidR="00273D2C" w:rsidRPr="00C012E1" w:rsidRDefault="00273D2C" w:rsidP="00D36B52">
            <w:pPr>
              <w:pStyle w:val="IEEETableHeaderLeft-Justified"/>
            </w:pPr>
            <w:r w:rsidRPr="00C012E1">
              <w:t>Regular</w:t>
            </w:r>
          </w:p>
        </w:tc>
        <w:tc>
          <w:tcPr>
            <w:tcW w:w="1080" w:type="dxa"/>
            <w:shd w:val="clear" w:color="auto" w:fill="auto"/>
          </w:tcPr>
          <w:p w14:paraId="231C1445" w14:textId="77777777" w:rsidR="00273D2C" w:rsidRPr="00C012E1" w:rsidRDefault="00273D2C" w:rsidP="00D36B52">
            <w:pPr>
              <w:pStyle w:val="IEEETableHeaderLeft-Justified"/>
            </w:pPr>
            <w:r w:rsidRPr="00C012E1">
              <w:t>Bold</w:t>
            </w:r>
          </w:p>
        </w:tc>
        <w:tc>
          <w:tcPr>
            <w:tcW w:w="1605" w:type="dxa"/>
            <w:shd w:val="clear" w:color="auto" w:fill="auto"/>
          </w:tcPr>
          <w:p w14:paraId="231C1446" w14:textId="77777777" w:rsidR="00273D2C" w:rsidRPr="00C012E1" w:rsidRDefault="00273D2C" w:rsidP="00D36B52">
            <w:pPr>
              <w:pStyle w:val="IEEETableHeaderLeft-Justified"/>
            </w:pPr>
            <w:r w:rsidRPr="00C012E1">
              <w:t>Italic</w:t>
            </w:r>
          </w:p>
        </w:tc>
      </w:tr>
      <w:tr w:rsidR="00273D2C" w14:paraId="231C144E" w14:textId="77777777" w:rsidTr="00D414FE">
        <w:trPr>
          <w:jc w:val="center"/>
        </w:trPr>
        <w:tc>
          <w:tcPr>
            <w:tcW w:w="580" w:type="dxa"/>
            <w:shd w:val="clear" w:color="auto" w:fill="auto"/>
          </w:tcPr>
          <w:p w14:paraId="231C1448" w14:textId="77777777" w:rsidR="00273D2C" w:rsidRDefault="00273D2C" w:rsidP="00E47D0E">
            <w:pPr>
              <w:pStyle w:val="IEEETableCell"/>
            </w:pPr>
            <w:r>
              <w:t>8</w:t>
            </w:r>
          </w:p>
        </w:tc>
        <w:tc>
          <w:tcPr>
            <w:tcW w:w="1762" w:type="dxa"/>
            <w:shd w:val="clear" w:color="auto" w:fill="auto"/>
          </w:tcPr>
          <w:p w14:paraId="231C1449" w14:textId="77777777" w:rsidR="00331F84" w:rsidRDefault="00273D2C" w:rsidP="00331F84">
            <w:pPr>
              <w:pStyle w:val="IEEETableCell"/>
            </w:pPr>
            <w:r>
              <w:t>table caption (in Small Caps),</w:t>
            </w:r>
          </w:p>
          <w:p w14:paraId="231C144A" w14:textId="77777777" w:rsidR="00331F84" w:rsidRDefault="00273D2C" w:rsidP="00331F84">
            <w:pPr>
              <w:pStyle w:val="IEEETableCell"/>
            </w:pPr>
            <w:r>
              <w:t>figure caption</w:t>
            </w:r>
            <w:r w:rsidR="00CD4F3F">
              <w:t>,</w:t>
            </w:r>
          </w:p>
          <w:p w14:paraId="231C144B" w14:textId="77777777" w:rsidR="00CD4F3F" w:rsidRDefault="00CD4F3F" w:rsidP="00331F84">
            <w:pPr>
              <w:pStyle w:val="IEEETableCell"/>
            </w:pPr>
            <w:r>
              <w:t>reference</w:t>
            </w:r>
            <w:r w:rsidR="00311C49">
              <w:t xml:space="preserve"> item</w:t>
            </w:r>
          </w:p>
        </w:tc>
        <w:tc>
          <w:tcPr>
            <w:tcW w:w="1080" w:type="dxa"/>
            <w:shd w:val="clear" w:color="auto" w:fill="auto"/>
          </w:tcPr>
          <w:p w14:paraId="231C144C" w14:textId="77777777" w:rsidR="00273D2C" w:rsidRDefault="00273D2C" w:rsidP="00E47D0E">
            <w:pPr>
              <w:pStyle w:val="IEEETableCell"/>
            </w:pPr>
          </w:p>
        </w:tc>
        <w:tc>
          <w:tcPr>
            <w:tcW w:w="1605" w:type="dxa"/>
            <w:shd w:val="clear" w:color="auto" w:fill="auto"/>
          </w:tcPr>
          <w:p w14:paraId="231C144D" w14:textId="77777777" w:rsidR="00273D2C" w:rsidRDefault="00CD4F3F" w:rsidP="00E47D0E">
            <w:pPr>
              <w:pStyle w:val="IEEETableCell"/>
            </w:pPr>
            <w:r>
              <w:t xml:space="preserve">reference </w:t>
            </w:r>
            <w:r w:rsidR="00311C49">
              <w:t xml:space="preserve">item </w:t>
            </w:r>
            <w:r>
              <w:t>(partial)</w:t>
            </w:r>
          </w:p>
        </w:tc>
      </w:tr>
      <w:tr w:rsidR="00273D2C" w14:paraId="231C1454" w14:textId="77777777" w:rsidTr="00D414FE">
        <w:trPr>
          <w:jc w:val="center"/>
        </w:trPr>
        <w:tc>
          <w:tcPr>
            <w:tcW w:w="580" w:type="dxa"/>
            <w:shd w:val="clear" w:color="auto" w:fill="auto"/>
          </w:tcPr>
          <w:p w14:paraId="231C144F" w14:textId="77777777" w:rsidR="00273D2C" w:rsidRDefault="00273D2C" w:rsidP="00E47D0E">
            <w:pPr>
              <w:pStyle w:val="IEEETableCell"/>
            </w:pPr>
            <w:r>
              <w:t>9</w:t>
            </w:r>
          </w:p>
        </w:tc>
        <w:tc>
          <w:tcPr>
            <w:tcW w:w="1762" w:type="dxa"/>
            <w:shd w:val="clear" w:color="auto" w:fill="auto"/>
          </w:tcPr>
          <w:p w14:paraId="231C1450" w14:textId="77777777" w:rsidR="00331F84" w:rsidRDefault="00273D2C" w:rsidP="00331F84">
            <w:pPr>
              <w:pStyle w:val="IEEETableCell"/>
            </w:pPr>
            <w:r>
              <w:t>author email address (in Courier)</w:t>
            </w:r>
            <w:r w:rsidR="00331F84">
              <w:t>,</w:t>
            </w:r>
          </w:p>
          <w:p w14:paraId="231C1451" w14:textId="77777777" w:rsidR="00331F84" w:rsidRDefault="00331F84" w:rsidP="00331F84">
            <w:pPr>
              <w:pStyle w:val="IEEETableCell"/>
            </w:pPr>
            <w:r>
              <w:t>cell in a table</w:t>
            </w:r>
          </w:p>
        </w:tc>
        <w:tc>
          <w:tcPr>
            <w:tcW w:w="1080" w:type="dxa"/>
            <w:shd w:val="clear" w:color="auto" w:fill="auto"/>
          </w:tcPr>
          <w:p w14:paraId="231C1452" w14:textId="77777777" w:rsidR="00273D2C" w:rsidRDefault="00273D2C" w:rsidP="00E47D0E">
            <w:pPr>
              <w:pStyle w:val="IEEETableCell"/>
            </w:pPr>
            <w:r>
              <w:t>abstract body</w:t>
            </w:r>
          </w:p>
        </w:tc>
        <w:tc>
          <w:tcPr>
            <w:tcW w:w="1605" w:type="dxa"/>
            <w:shd w:val="clear" w:color="auto" w:fill="auto"/>
          </w:tcPr>
          <w:p w14:paraId="231C1453" w14:textId="77777777" w:rsidR="00273D2C" w:rsidRDefault="00273D2C" w:rsidP="00E47D0E">
            <w:pPr>
              <w:pStyle w:val="IEEETableCell"/>
            </w:pPr>
            <w:r>
              <w:t>abstract heading (also in Bold)</w:t>
            </w:r>
          </w:p>
        </w:tc>
      </w:tr>
      <w:tr w:rsidR="00273D2C" w14:paraId="231C145C" w14:textId="77777777" w:rsidTr="00D414FE">
        <w:trPr>
          <w:jc w:val="center"/>
        </w:trPr>
        <w:tc>
          <w:tcPr>
            <w:tcW w:w="580" w:type="dxa"/>
            <w:shd w:val="clear" w:color="auto" w:fill="auto"/>
          </w:tcPr>
          <w:p w14:paraId="231C1455" w14:textId="77777777" w:rsidR="00273D2C" w:rsidRDefault="00273D2C" w:rsidP="00E47D0E">
            <w:pPr>
              <w:pStyle w:val="IEEETableCell"/>
            </w:pPr>
            <w:r>
              <w:t>10</w:t>
            </w:r>
          </w:p>
        </w:tc>
        <w:tc>
          <w:tcPr>
            <w:tcW w:w="1762" w:type="dxa"/>
            <w:shd w:val="clear" w:color="auto" w:fill="auto"/>
          </w:tcPr>
          <w:p w14:paraId="231C1456" w14:textId="77777777" w:rsidR="00331F84" w:rsidRDefault="00273D2C" w:rsidP="00331F84">
            <w:pPr>
              <w:pStyle w:val="IEEETableCell"/>
            </w:pPr>
            <w:r>
              <w:t>level-1 heading (in Small Caps),</w:t>
            </w:r>
          </w:p>
          <w:p w14:paraId="231C1457" w14:textId="77777777" w:rsidR="00273D2C" w:rsidRDefault="00273D2C" w:rsidP="00331F84">
            <w:pPr>
              <w:pStyle w:val="IEEETableCell"/>
            </w:pPr>
            <w:r>
              <w:t>paragraph</w:t>
            </w:r>
          </w:p>
        </w:tc>
        <w:tc>
          <w:tcPr>
            <w:tcW w:w="1080" w:type="dxa"/>
            <w:shd w:val="clear" w:color="auto" w:fill="auto"/>
          </w:tcPr>
          <w:p w14:paraId="231C1458" w14:textId="77777777" w:rsidR="00273D2C" w:rsidRDefault="00273D2C" w:rsidP="00E47D0E">
            <w:pPr>
              <w:pStyle w:val="IEEETableCell"/>
            </w:pPr>
          </w:p>
        </w:tc>
        <w:tc>
          <w:tcPr>
            <w:tcW w:w="1605" w:type="dxa"/>
            <w:shd w:val="clear" w:color="auto" w:fill="auto"/>
          </w:tcPr>
          <w:p w14:paraId="231C1459" w14:textId="77777777" w:rsidR="00273D2C" w:rsidRDefault="00273D2C" w:rsidP="00E47D0E">
            <w:pPr>
              <w:pStyle w:val="IEEETableCell"/>
            </w:pPr>
            <w:r>
              <w:t>level-2 heading,</w:t>
            </w:r>
          </w:p>
          <w:p w14:paraId="231C145A" w14:textId="77777777" w:rsidR="00273D2C" w:rsidRDefault="00273D2C" w:rsidP="00E47D0E">
            <w:pPr>
              <w:pStyle w:val="IEEETableCell"/>
            </w:pPr>
            <w:r>
              <w:t>level-3 heading,</w:t>
            </w:r>
          </w:p>
          <w:p w14:paraId="231C145B" w14:textId="77777777" w:rsidR="00273D2C" w:rsidRDefault="00273D2C" w:rsidP="00E47D0E">
            <w:pPr>
              <w:pStyle w:val="IEEETableCell"/>
            </w:pPr>
            <w:r>
              <w:t>author affiliation</w:t>
            </w:r>
          </w:p>
        </w:tc>
      </w:tr>
      <w:tr w:rsidR="00273D2C" w14:paraId="231C1461" w14:textId="77777777" w:rsidTr="00D414FE">
        <w:trPr>
          <w:jc w:val="center"/>
        </w:trPr>
        <w:tc>
          <w:tcPr>
            <w:tcW w:w="580" w:type="dxa"/>
            <w:shd w:val="clear" w:color="auto" w:fill="auto"/>
          </w:tcPr>
          <w:p w14:paraId="231C145D" w14:textId="77777777" w:rsidR="00273D2C" w:rsidRDefault="00273D2C" w:rsidP="00E47D0E">
            <w:pPr>
              <w:pStyle w:val="IEEETableCell"/>
            </w:pPr>
            <w:r>
              <w:t>11</w:t>
            </w:r>
          </w:p>
        </w:tc>
        <w:tc>
          <w:tcPr>
            <w:tcW w:w="1762" w:type="dxa"/>
            <w:shd w:val="clear" w:color="auto" w:fill="auto"/>
          </w:tcPr>
          <w:p w14:paraId="231C145E" w14:textId="77777777" w:rsidR="00273D2C" w:rsidRDefault="00273D2C" w:rsidP="00E47D0E">
            <w:pPr>
              <w:pStyle w:val="IEEETableCell"/>
            </w:pPr>
            <w:r>
              <w:t>author name</w:t>
            </w:r>
          </w:p>
        </w:tc>
        <w:tc>
          <w:tcPr>
            <w:tcW w:w="1080" w:type="dxa"/>
            <w:shd w:val="clear" w:color="auto" w:fill="auto"/>
          </w:tcPr>
          <w:p w14:paraId="231C145F" w14:textId="77777777" w:rsidR="00273D2C" w:rsidRDefault="00273D2C" w:rsidP="00E47D0E">
            <w:pPr>
              <w:pStyle w:val="IEEETableCell"/>
            </w:pPr>
          </w:p>
        </w:tc>
        <w:tc>
          <w:tcPr>
            <w:tcW w:w="1605" w:type="dxa"/>
            <w:shd w:val="clear" w:color="auto" w:fill="auto"/>
          </w:tcPr>
          <w:p w14:paraId="231C1460" w14:textId="77777777" w:rsidR="00273D2C" w:rsidRDefault="00273D2C" w:rsidP="00E47D0E">
            <w:pPr>
              <w:pStyle w:val="IEEETableCell"/>
            </w:pPr>
          </w:p>
        </w:tc>
      </w:tr>
      <w:tr w:rsidR="00273D2C" w14:paraId="231C1466" w14:textId="77777777" w:rsidTr="00D414FE">
        <w:trPr>
          <w:jc w:val="center"/>
        </w:trPr>
        <w:tc>
          <w:tcPr>
            <w:tcW w:w="580" w:type="dxa"/>
            <w:shd w:val="clear" w:color="auto" w:fill="auto"/>
          </w:tcPr>
          <w:p w14:paraId="231C1462" w14:textId="77777777" w:rsidR="00273D2C" w:rsidRDefault="00273D2C" w:rsidP="00E47D0E">
            <w:pPr>
              <w:pStyle w:val="IEEETableCell"/>
            </w:pPr>
            <w:r>
              <w:t>24</w:t>
            </w:r>
          </w:p>
        </w:tc>
        <w:tc>
          <w:tcPr>
            <w:tcW w:w="1762" w:type="dxa"/>
            <w:shd w:val="clear" w:color="auto" w:fill="auto"/>
          </w:tcPr>
          <w:p w14:paraId="231C1463" w14:textId="77777777" w:rsidR="00273D2C" w:rsidRDefault="00273D2C" w:rsidP="00E47D0E">
            <w:pPr>
              <w:pStyle w:val="IEEETableCell"/>
            </w:pPr>
            <w:r>
              <w:t>title</w:t>
            </w:r>
          </w:p>
        </w:tc>
        <w:tc>
          <w:tcPr>
            <w:tcW w:w="1080" w:type="dxa"/>
            <w:shd w:val="clear" w:color="auto" w:fill="auto"/>
          </w:tcPr>
          <w:p w14:paraId="231C1464" w14:textId="77777777" w:rsidR="00273D2C" w:rsidRDefault="00273D2C" w:rsidP="00E47D0E">
            <w:pPr>
              <w:pStyle w:val="IEEETableCell"/>
            </w:pPr>
          </w:p>
        </w:tc>
        <w:tc>
          <w:tcPr>
            <w:tcW w:w="1605" w:type="dxa"/>
            <w:shd w:val="clear" w:color="auto" w:fill="auto"/>
          </w:tcPr>
          <w:p w14:paraId="231C1465" w14:textId="77777777" w:rsidR="00273D2C" w:rsidRDefault="00273D2C" w:rsidP="00E47D0E">
            <w:pPr>
              <w:pStyle w:val="IEEETableCell"/>
            </w:pPr>
          </w:p>
        </w:tc>
      </w:tr>
    </w:tbl>
    <w:p w14:paraId="231C1467" w14:textId="77777777" w:rsidR="00B94516" w:rsidRDefault="00B94516" w:rsidP="00B94516">
      <w:pPr>
        <w:pStyle w:val="IEEEParagraph"/>
      </w:pPr>
    </w:p>
    <w:p w14:paraId="231C1468" w14:textId="77777777" w:rsidR="00B94516" w:rsidRDefault="00B94516" w:rsidP="00B94516">
      <w:pPr>
        <w:pStyle w:val="IEEEParagraph"/>
      </w:pPr>
      <w:r>
        <w:t xml:space="preserve">All title and author details must be in single-column format and must be </w:t>
      </w:r>
      <w:proofErr w:type="spellStart"/>
      <w:r>
        <w:t>centered</w:t>
      </w:r>
      <w:proofErr w:type="spellEnd"/>
      <w:r>
        <w:t>.</w:t>
      </w:r>
    </w:p>
    <w:p w14:paraId="231C1469" w14:textId="77777777"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14:paraId="231C146A" w14:textId="77777777"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231C146B" w14:textId="77777777" w:rsidR="009926BC" w:rsidRDefault="009926BC" w:rsidP="0076604D">
      <w:pPr>
        <w:pStyle w:val="IEEEParagraph"/>
      </w:pPr>
      <w:r>
        <w:t xml:space="preserve">To avoid confusion, </w:t>
      </w:r>
      <w:r w:rsidR="001160D2">
        <w:t>the family name must be written as the last part of each author name (e.g. John A.K. Smith).</w:t>
      </w:r>
    </w:p>
    <w:p w14:paraId="231C146C" w14:textId="77777777" w:rsidR="00B94516" w:rsidRDefault="00B94516" w:rsidP="00B94516">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14:paraId="231C146D" w14:textId="77777777" w:rsidR="00B94516" w:rsidRDefault="00B94516" w:rsidP="00B94516">
      <w:pPr>
        <w:pStyle w:val="IEEEParagraph"/>
      </w:pPr>
      <w:r>
        <w:t>Email address is compulsory for the corresponding author.</w:t>
      </w:r>
    </w:p>
    <w:p w14:paraId="231C146E" w14:textId="77777777" w:rsidR="00A45FCE" w:rsidRDefault="00A45FCE" w:rsidP="00A45FCE">
      <w:pPr>
        <w:pStyle w:val="IEEEHeading2"/>
        <w:numPr>
          <w:ilvl w:val="0"/>
          <w:numId w:val="39"/>
        </w:numPr>
      </w:pPr>
      <w:r w:rsidRPr="00B55D5E">
        <w:t xml:space="preserve">Section </w:t>
      </w:r>
      <w:r>
        <w:t>Headings</w:t>
      </w:r>
    </w:p>
    <w:p w14:paraId="231C146F" w14:textId="77777777"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231C1470" w14:textId="77777777" w:rsidR="00A45FCE" w:rsidRPr="00AB18B7" w:rsidRDefault="00A45FCE" w:rsidP="0047429A">
      <w:pPr>
        <w:pStyle w:val="IEEEHeading3"/>
      </w:pPr>
      <w:r w:rsidRPr="00AB18B7">
        <w:t>Level-1 Heading</w:t>
      </w:r>
      <w:r w:rsidRPr="00AB18B7">
        <w:rPr>
          <w:i w:val="0"/>
          <w:iCs/>
        </w:rPr>
        <w:t xml:space="preserve">: </w:t>
      </w:r>
      <w:r w:rsidR="003F3A61">
        <w:rPr>
          <w:i w:val="0"/>
          <w:iCs/>
        </w:rPr>
        <w:t xml:space="preserve"> </w:t>
      </w:r>
      <w:r w:rsidRPr="00AB18B7">
        <w:rPr>
          <w:i w:val="0"/>
          <w:iCs/>
        </w:rPr>
        <w:t xml:space="preserve">A level-1 heading must be in Small Caps, </w:t>
      </w:r>
      <w:proofErr w:type="spellStart"/>
      <w:r w:rsidRPr="00AB18B7">
        <w:rPr>
          <w:i w:val="0"/>
          <w:iCs/>
        </w:rPr>
        <w:t>centere</w:t>
      </w:r>
      <w:r w:rsidR="000002E1">
        <w:rPr>
          <w:i w:val="0"/>
          <w:iCs/>
        </w:rPr>
        <w:t>d</w:t>
      </w:r>
      <w:proofErr w:type="spellEnd"/>
      <w:r w:rsidR="000002E1">
        <w:rPr>
          <w:i w:val="0"/>
          <w:iCs/>
        </w:rPr>
        <w:t xml:space="preserve">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14:paraId="231C1471" w14:textId="77777777"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14:paraId="231C1472" w14:textId="77777777"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14:paraId="231C1473" w14:textId="77777777" w:rsidR="00510E95" w:rsidRDefault="00510E95" w:rsidP="00510E95">
      <w:pPr>
        <w:pStyle w:val="IEEEHeading2"/>
        <w:rPr>
          <w:lang w:val="en-GB"/>
        </w:rPr>
      </w:pPr>
      <w:r>
        <w:rPr>
          <w:lang w:val="en-GB"/>
        </w:rPr>
        <w:t>Figures and Tables</w:t>
      </w:r>
    </w:p>
    <w:p w14:paraId="231C1474" w14:textId="77777777" w:rsidR="00510E95" w:rsidRDefault="000E3F84" w:rsidP="00510E95">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231C1475" w14:textId="77777777" w:rsidR="00510E95" w:rsidRDefault="00510E95" w:rsidP="00510E95">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14:paraId="231C1476" w14:textId="77777777" w:rsidR="002F72D0" w:rsidRDefault="002F72D0" w:rsidP="002F72D0">
      <w:pPr>
        <w:pStyle w:val="IEEEParagraph"/>
      </w:pPr>
    </w:p>
    <w:p w14:paraId="231C1477" w14:textId="77777777" w:rsidR="002F72D0" w:rsidRDefault="00A67BB9" w:rsidP="00D36B52">
      <w:pPr>
        <w:pStyle w:val="IEEEFigure"/>
      </w:pPr>
      <w:r>
        <w:pict w14:anchorId="231C1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141.35pt">
            <v:imagedata r:id="rId5" o:title="gv_figure_4"/>
          </v:shape>
        </w:pict>
      </w:r>
    </w:p>
    <w:p w14:paraId="231C1478" w14:textId="77777777" w:rsidR="002F72D0" w:rsidRDefault="002F72D0" w:rsidP="00D36B52">
      <w:pPr>
        <w:pStyle w:val="IEEEFigureCaptionMulti-Lines"/>
      </w:pPr>
      <w:r>
        <w:t xml:space="preserve">Fig. </w:t>
      </w:r>
      <w:r w:rsidR="00A67BB9">
        <w:fldChar w:fldCharType="begin"/>
      </w:r>
      <w:r w:rsidR="00A67BB9">
        <w:instrText xml:space="preserve"> SEQ Fig. \* ARABIC  \* MERGEFORMAT </w:instrText>
      </w:r>
      <w:r w:rsidR="00A67BB9">
        <w:fldChar w:fldCharType="separate"/>
      </w:r>
      <w:r w:rsidR="00042F9F">
        <w:rPr>
          <w:noProof/>
        </w:rPr>
        <w:t>1</w:t>
      </w:r>
      <w:r w:rsidR="00A67BB9">
        <w:rPr>
          <w:noProof/>
        </w:rPr>
        <w:fldChar w:fldCharType="end"/>
      </w:r>
      <w:r>
        <w:t xml:space="preserve">  A sample line graph using </w:t>
      </w:r>
      <w:proofErr w:type="spellStart"/>
      <w:r>
        <w:t>colors</w:t>
      </w:r>
      <w:proofErr w:type="spellEnd"/>
      <w:r>
        <w:t xml:space="preserve"> which contrast well both on screen and on a black-and-white hardcopy</w:t>
      </w:r>
    </w:p>
    <w:p w14:paraId="231C1479" w14:textId="77777777" w:rsidR="007B5A07" w:rsidRDefault="007B5A07" w:rsidP="007B5A07">
      <w:pPr>
        <w:pStyle w:val="IEEEParagraph"/>
      </w:pPr>
    </w:p>
    <w:p w14:paraId="231C147A" w14:textId="77777777"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231C147B" w14:textId="77777777" w:rsidR="008D1045" w:rsidRDefault="008D1045" w:rsidP="008D1045">
      <w:pPr>
        <w:pStyle w:val="IEEEParagraph"/>
        <w:rPr>
          <w:lang w:val="en-GB"/>
        </w:rPr>
      </w:pPr>
      <w:r>
        <w:rPr>
          <w:lang w:val="en-GB"/>
        </w:rPr>
        <w:lastRenderedPageBreak/>
        <w:t>Please check all figures in your paper both on screen and on a black-and-white hardcopy.  When you check your paper on a black-and-white hardcopy, please ensure that:</w:t>
      </w:r>
    </w:p>
    <w:p w14:paraId="231C147C" w14:textId="77777777" w:rsidR="008D1045" w:rsidRPr="0084515F" w:rsidRDefault="008D1045" w:rsidP="008D1045">
      <w:pPr>
        <w:pStyle w:val="IEEEParagraph"/>
        <w:numPr>
          <w:ilvl w:val="0"/>
          <w:numId w:val="45"/>
        </w:numPr>
      </w:pPr>
      <w:r>
        <w:rPr>
          <w:lang w:val="en-GB"/>
        </w:rPr>
        <w:t xml:space="preserve">the </w:t>
      </w:r>
      <w:proofErr w:type="spellStart"/>
      <w:r>
        <w:rPr>
          <w:lang w:val="en-GB"/>
        </w:rPr>
        <w:t>colors</w:t>
      </w:r>
      <w:proofErr w:type="spellEnd"/>
      <w:r>
        <w:rPr>
          <w:lang w:val="en-GB"/>
        </w:rPr>
        <w:t xml:space="preserve"> used in each figure contrast well,</w:t>
      </w:r>
    </w:p>
    <w:p w14:paraId="231C147D" w14:textId="77777777" w:rsidR="008D1045" w:rsidRPr="0084515F" w:rsidRDefault="008D1045" w:rsidP="008D1045">
      <w:pPr>
        <w:pStyle w:val="IEEEParagraph"/>
        <w:numPr>
          <w:ilvl w:val="0"/>
          <w:numId w:val="45"/>
        </w:numPr>
      </w:pPr>
      <w:r>
        <w:rPr>
          <w:lang w:val="en-GB"/>
        </w:rPr>
        <w:t>the image used in each figure is clear,</w:t>
      </w:r>
    </w:p>
    <w:p w14:paraId="231C147E" w14:textId="77777777" w:rsidR="008D1045" w:rsidRPr="00054421" w:rsidRDefault="008D1045" w:rsidP="008D1045">
      <w:pPr>
        <w:pStyle w:val="IEEEParagraph"/>
        <w:numPr>
          <w:ilvl w:val="0"/>
          <w:numId w:val="45"/>
        </w:numPr>
      </w:pPr>
      <w:r>
        <w:rPr>
          <w:lang w:val="en-GB"/>
        </w:rPr>
        <w:t>all text labels in each figure are legible.</w:t>
      </w:r>
    </w:p>
    <w:p w14:paraId="231C147F" w14:textId="77777777" w:rsidR="002F72D0" w:rsidRDefault="002F72D0" w:rsidP="002F72D0">
      <w:pPr>
        <w:pStyle w:val="IEEEHeading2"/>
        <w:numPr>
          <w:ilvl w:val="0"/>
          <w:numId w:val="14"/>
        </w:numPr>
      </w:pPr>
      <w:r>
        <w:t>Figure Captions</w:t>
      </w:r>
    </w:p>
    <w:p w14:paraId="231C1480" w14:textId="77777777"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w:t>
      </w:r>
      <w:proofErr w:type="spellStart"/>
      <w:r w:rsidRPr="005F0834">
        <w:rPr>
          <w:lang w:val="en-GB"/>
        </w:rPr>
        <w:t>pt</w:t>
      </w:r>
      <w:proofErr w:type="spellEnd"/>
      <w:r w:rsidRPr="005F0834">
        <w:rPr>
          <w:lang w:val="en-GB"/>
        </w:rPr>
        <w:t xml:space="preserve"> Regular </w:t>
      </w:r>
      <w:r>
        <w:rPr>
          <w:lang w:val="en-GB"/>
        </w:rPr>
        <w:t>font</w:t>
      </w:r>
      <w:r w:rsidRPr="005F0834">
        <w:rPr>
          <w:lang w:val="en-GB"/>
        </w:rPr>
        <w:t xml:space="preserve">. </w:t>
      </w:r>
      <w:r>
        <w:rPr>
          <w:lang w:val="en-GB"/>
        </w:rPr>
        <w:t xml:space="preserve">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231C1481" w14:textId="77777777" w:rsidR="00DD71E8" w:rsidRDefault="00AC6FDE" w:rsidP="00D36B52">
      <w:pPr>
        <w:pStyle w:val="IEEEFigure"/>
      </w:pPr>
      <w:r>
        <w:pict w14:anchorId="231C14B3">
          <v:shape id="_x0000_i1026" type="#_x0000_t75" style="width:128pt;height:184pt">
            <v:imagedata r:id="rId6" o:title=""/>
          </v:shape>
        </w:pict>
      </w:r>
    </w:p>
    <w:p w14:paraId="231C1482" w14:textId="77777777" w:rsidR="00EB0B63" w:rsidRDefault="001F47D2" w:rsidP="001F47D2">
      <w:pPr>
        <w:pStyle w:val="IEEEFigureCaptionSingle-Line"/>
      </w:pPr>
      <w:r>
        <w:t xml:space="preserve">Fig. </w:t>
      </w:r>
      <w:r w:rsidR="00A67BB9">
        <w:fldChar w:fldCharType="begin"/>
      </w:r>
      <w:r w:rsidR="00A67BB9">
        <w:instrText xml:space="preserve"> SEQ Fig. \* ARABIC  \* MERGEFORMAT </w:instrText>
      </w:r>
      <w:r w:rsidR="00A67BB9">
        <w:fldChar w:fldCharType="separate"/>
      </w:r>
      <w:r w:rsidR="00042F9F">
        <w:rPr>
          <w:noProof/>
        </w:rPr>
        <w:t>2</w:t>
      </w:r>
      <w:r w:rsidR="00A67BB9">
        <w:rPr>
          <w:noProof/>
        </w:rPr>
        <w:fldChar w:fldCharType="end"/>
      </w:r>
      <w:r>
        <w:t xml:space="preserve">  </w:t>
      </w:r>
      <w:r w:rsidR="00510E95">
        <w:t>Example of an unacceptable low-resolution i</w:t>
      </w:r>
      <w:r w:rsidR="00EB0B63">
        <w:t>mage</w:t>
      </w:r>
    </w:p>
    <w:p w14:paraId="231C1483" w14:textId="77777777" w:rsidR="007B5A07" w:rsidRPr="007B5A07" w:rsidRDefault="007B5A07" w:rsidP="007B5A07">
      <w:pPr>
        <w:pStyle w:val="IEEEParagraph"/>
      </w:pPr>
    </w:p>
    <w:p w14:paraId="231C1484" w14:textId="77777777" w:rsidR="00EB0B63" w:rsidRDefault="00AC6FDE" w:rsidP="00D36B52">
      <w:pPr>
        <w:pStyle w:val="IEEEFigure"/>
      </w:pPr>
      <w:r>
        <w:pict w14:anchorId="231C14B4">
          <v:shape id="_x0000_i1027" type="#_x0000_t75" style="width:120.65pt;height:176pt">
            <v:imagedata r:id="rId7" o:title="extracted_2_0002"/>
          </v:shape>
        </w:pict>
      </w:r>
    </w:p>
    <w:p w14:paraId="231C1485" w14:textId="77777777" w:rsidR="00EB0B63" w:rsidRDefault="001F47D2" w:rsidP="001F47D2">
      <w:pPr>
        <w:pStyle w:val="IEEEFigureCaptionSingle-Line"/>
      </w:pPr>
      <w:r>
        <w:t xml:space="preserve">Fig. </w:t>
      </w:r>
      <w:r w:rsidR="00A67BB9">
        <w:fldChar w:fldCharType="begin"/>
      </w:r>
      <w:r w:rsidR="00A67BB9">
        <w:instrText xml:space="preserve"> SEQ Fig. \* ARABIC  \* MERGEFORMAT </w:instrText>
      </w:r>
      <w:r w:rsidR="00A67BB9">
        <w:fldChar w:fldCharType="separate"/>
      </w:r>
      <w:r w:rsidR="00042F9F">
        <w:rPr>
          <w:noProof/>
        </w:rPr>
        <w:t>3</w:t>
      </w:r>
      <w:r w:rsidR="00A67BB9">
        <w:rPr>
          <w:noProof/>
        </w:rPr>
        <w:fldChar w:fldCharType="end"/>
      </w:r>
      <w:r>
        <w:t xml:space="preserve">  </w:t>
      </w:r>
      <w:r w:rsidR="00510E95">
        <w:t>Example of an image with acceptable r</w:t>
      </w:r>
      <w:r w:rsidR="00EB0B63">
        <w:t>esolution</w:t>
      </w:r>
    </w:p>
    <w:p w14:paraId="231C1486" w14:textId="77777777" w:rsidR="007B5A07" w:rsidRDefault="007B5A07" w:rsidP="007B5A07">
      <w:pPr>
        <w:pStyle w:val="IEEEParagraph"/>
      </w:pPr>
    </w:p>
    <w:p w14:paraId="231C1487" w14:textId="77777777" w:rsidR="007B5A07" w:rsidRDefault="007B5A07" w:rsidP="007B5A07">
      <w:pPr>
        <w:pStyle w:val="IEEEHeading2"/>
        <w:numPr>
          <w:ilvl w:val="0"/>
          <w:numId w:val="14"/>
        </w:numPr>
      </w:pPr>
      <w:r>
        <w:t>Table Captions</w:t>
      </w:r>
    </w:p>
    <w:p w14:paraId="231C1488" w14:textId="77777777"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w:t>
      </w:r>
      <w:proofErr w:type="spellStart"/>
      <w:r w:rsidRPr="005F0834">
        <w:rPr>
          <w:lang w:val="en-GB"/>
        </w:rPr>
        <w:t>pt</w:t>
      </w:r>
      <w:proofErr w:type="spellEnd"/>
      <w:r w:rsidRPr="005F0834">
        <w:rPr>
          <w:lang w:val="en-GB"/>
        </w:rPr>
        <w:t xml:space="preserve">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231C1489" w14:textId="77777777" w:rsidR="00D377C8" w:rsidRDefault="00D377C8" w:rsidP="007B5A07">
      <w:pPr>
        <w:pStyle w:val="IEEEHeading2"/>
      </w:pPr>
      <w:r>
        <w:t>Page Numbers, Headers and Footers</w:t>
      </w:r>
    </w:p>
    <w:p w14:paraId="231C148A" w14:textId="77777777" w:rsidR="00151B8E" w:rsidRDefault="00D377C8" w:rsidP="00151B8E">
      <w:pPr>
        <w:pStyle w:val="IEEEParagraph"/>
      </w:pPr>
      <w:r>
        <w:t>Page numbers, headers and footers must not be used.</w:t>
      </w:r>
    </w:p>
    <w:p w14:paraId="231C148B" w14:textId="77777777" w:rsidR="005B47D7" w:rsidRDefault="005B47D7" w:rsidP="00D377C8">
      <w:pPr>
        <w:pStyle w:val="IEEEHeading2"/>
      </w:pPr>
      <w:r>
        <w:t>Links and Bookmarks</w:t>
      </w:r>
    </w:p>
    <w:p w14:paraId="231C148C" w14:textId="77777777"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231C148D" w14:textId="77777777" w:rsidR="002C559D" w:rsidRDefault="007B5A07" w:rsidP="002C559D">
      <w:pPr>
        <w:pStyle w:val="IEEEHeading2"/>
      </w:pPr>
      <w:r>
        <w:br w:type="column"/>
      </w:r>
      <w:r w:rsidR="002C559D" w:rsidRPr="002C559D">
        <w:lastRenderedPageBreak/>
        <w:t>References</w:t>
      </w:r>
    </w:p>
    <w:p w14:paraId="231C148E" w14:textId="77777777"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w:t>
      </w:r>
      <w:proofErr w:type="spellStart"/>
      <w:r w:rsidR="00DB7E63">
        <w:rPr>
          <w:lang w:val="en-GB"/>
        </w:rPr>
        <w:t>pt</w:t>
      </w:r>
      <w:proofErr w:type="spellEnd"/>
      <w:r w:rsidR="00DB7E63">
        <w:rPr>
          <w:lang w:val="en-GB"/>
        </w:rPr>
        <w:t xml:space="preserve">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231C148F" w14:textId="77777777"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231C1490" w14:textId="77777777"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14:paraId="231C1491" w14:textId="77777777" w:rsidR="005B47D7" w:rsidRDefault="005B47D7" w:rsidP="005B47D7">
      <w:pPr>
        <w:pStyle w:val="IEEEParagraph"/>
        <w:numPr>
          <w:ilvl w:val="0"/>
          <w:numId w:val="45"/>
        </w:numPr>
      </w:pPr>
      <w:r>
        <w:rPr>
          <w:lang w:val="en-GB"/>
        </w:rPr>
        <w:t>example of a book in [1]</w:t>
      </w:r>
    </w:p>
    <w:p w14:paraId="231C1492" w14:textId="77777777" w:rsidR="005B47D7" w:rsidRDefault="005B47D7" w:rsidP="005B47D7">
      <w:pPr>
        <w:pStyle w:val="IEEEParagraph"/>
        <w:numPr>
          <w:ilvl w:val="0"/>
          <w:numId w:val="45"/>
        </w:numPr>
      </w:pPr>
      <w:r w:rsidRPr="005B47D7">
        <w:t>example of a book in a series</w:t>
      </w:r>
      <w:r>
        <w:t xml:space="preserve"> in [2]</w:t>
      </w:r>
    </w:p>
    <w:p w14:paraId="231C1493" w14:textId="77777777" w:rsidR="005B47D7" w:rsidRDefault="005B47D7" w:rsidP="005B47D7">
      <w:pPr>
        <w:pStyle w:val="IEEEParagraph"/>
        <w:numPr>
          <w:ilvl w:val="0"/>
          <w:numId w:val="45"/>
        </w:numPr>
      </w:pPr>
      <w:r>
        <w:t>example of a journal article in [3]</w:t>
      </w:r>
    </w:p>
    <w:p w14:paraId="231C1494" w14:textId="77777777" w:rsidR="005B47D7" w:rsidRDefault="005B47D7" w:rsidP="005B47D7">
      <w:pPr>
        <w:pStyle w:val="IEEEParagraph"/>
        <w:numPr>
          <w:ilvl w:val="0"/>
          <w:numId w:val="45"/>
        </w:numPr>
      </w:pPr>
      <w:r>
        <w:t>example of a conference paper in [4]</w:t>
      </w:r>
    </w:p>
    <w:p w14:paraId="231C1495" w14:textId="77777777" w:rsidR="006D1C2A" w:rsidRDefault="006D1C2A" w:rsidP="006D1C2A">
      <w:pPr>
        <w:pStyle w:val="IEEEParagraph"/>
        <w:numPr>
          <w:ilvl w:val="0"/>
          <w:numId w:val="45"/>
        </w:numPr>
      </w:pPr>
      <w:r>
        <w:t>example of a patent in [5]</w:t>
      </w:r>
    </w:p>
    <w:p w14:paraId="231C1496" w14:textId="77777777" w:rsidR="006D1C2A" w:rsidRDefault="006D1C2A" w:rsidP="006D1C2A">
      <w:pPr>
        <w:pStyle w:val="IEEEParagraph"/>
        <w:numPr>
          <w:ilvl w:val="0"/>
          <w:numId w:val="45"/>
        </w:numPr>
      </w:pPr>
      <w:r>
        <w:t>example of a website in [6]</w:t>
      </w:r>
    </w:p>
    <w:p w14:paraId="231C1497" w14:textId="77777777" w:rsidR="006D1C2A" w:rsidRDefault="006D1C2A" w:rsidP="006D1C2A">
      <w:pPr>
        <w:pStyle w:val="IEEEParagraph"/>
        <w:numPr>
          <w:ilvl w:val="0"/>
          <w:numId w:val="45"/>
        </w:numPr>
      </w:pPr>
      <w:r>
        <w:t>example of a web page in [7]</w:t>
      </w:r>
    </w:p>
    <w:p w14:paraId="231C1498" w14:textId="77777777" w:rsidR="006D1C2A" w:rsidRDefault="006D1C2A" w:rsidP="006D1C2A">
      <w:pPr>
        <w:pStyle w:val="IEEEParagraph"/>
        <w:numPr>
          <w:ilvl w:val="0"/>
          <w:numId w:val="45"/>
        </w:numPr>
      </w:pPr>
      <w:r>
        <w:t xml:space="preserve">example of a </w:t>
      </w:r>
      <w:proofErr w:type="spellStart"/>
      <w:r>
        <w:t>databook</w:t>
      </w:r>
      <w:proofErr w:type="spellEnd"/>
      <w:r>
        <w:t xml:space="preserve"> as a manual in [8]</w:t>
      </w:r>
    </w:p>
    <w:p w14:paraId="231C1499" w14:textId="77777777" w:rsidR="006D1C2A" w:rsidRDefault="006D1C2A" w:rsidP="006D1C2A">
      <w:pPr>
        <w:pStyle w:val="IEEEParagraph"/>
        <w:numPr>
          <w:ilvl w:val="0"/>
          <w:numId w:val="45"/>
        </w:numPr>
      </w:pPr>
      <w:r>
        <w:t>example of a datasheet in [9]</w:t>
      </w:r>
    </w:p>
    <w:p w14:paraId="231C149A" w14:textId="77777777" w:rsidR="006D1C2A" w:rsidRDefault="006D1C2A" w:rsidP="006D1C2A">
      <w:pPr>
        <w:pStyle w:val="IEEEParagraph"/>
        <w:numPr>
          <w:ilvl w:val="0"/>
          <w:numId w:val="45"/>
        </w:numPr>
      </w:pPr>
      <w:r>
        <w:t>example of a master’s thesis in [10]</w:t>
      </w:r>
    </w:p>
    <w:p w14:paraId="231C149B" w14:textId="77777777" w:rsidR="006D1C2A" w:rsidRDefault="006D1C2A" w:rsidP="006D1C2A">
      <w:pPr>
        <w:pStyle w:val="IEEEParagraph"/>
        <w:numPr>
          <w:ilvl w:val="0"/>
          <w:numId w:val="45"/>
        </w:numPr>
      </w:pPr>
      <w:r>
        <w:t>example of a technical report in [11]</w:t>
      </w:r>
    </w:p>
    <w:p w14:paraId="231C149C" w14:textId="77777777" w:rsidR="005B47D7" w:rsidRPr="006D1C2A" w:rsidRDefault="006D1C2A" w:rsidP="006D1C2A">
      <w:pPr>
        <w:pStyle w:val="IEEEParagraph"/>
        <w:numPr>
          <w:ilvl w:val="0"/>
          <w:numId w:val="45"/>
        </w:numPr>
      </w:pPr>
      <w:r>
        <w:t>example of a standard in [12]</w:t>
      </w:r>
    </w:p>
    <w:p w14:paraId="231C149D" w14:textId="77777777" w:rsidR="0062033E" w:rsidRDefault="0062033E" w:rsidP="0062033E">
      <w:pPr>
        <w:pStyle w:val="IEEEHeading1"/>
        <w:rPr>
          <w:lang w:val="en-US"/>
        </w:rPr>
      </w:pPr>
      <w:r>
        <w:rPr>
          <w:lang w:val="en-US"/>
        </w:rPr>
        <w:t>Conclusions</w:t>
      </w:r>
    </w:p>
    <w:p w14:paraId="231C149E" w14:textId="77777777"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proofErr w:type="spellStart"/>
      <w:r w:rsidR="00502E89" w:rsidRPr="00502E89">
        <w:rPr>
          <w:lang w:val="en-US"/>
        </w:rPr>
        <w:t>IEEEtran.cls</w:t>
      </w:r>
      <w:proofErr w:type="spellEnd"/>
      <w:r w:rsidR="00502E89" w:rsidRPr="00502E89">
        <w:rPr>
          <w:lang w:val="en-US"/>
        </w:rPr>
        <w:t xml:space="preserve"> and </w:t>
      </w:r>
      <w:proofErr w:type="spellStart"/>
      <w:r w:rsidR="00502E89" w:rsidRPr="00502E89">
        <w:rPr>
          <w:lang w:val="en-US"/>
        </w:rPr>
        <w:t>IEEEtran.bst</w:t>
      </w:r>
      <w:proofErr w:type="spellEnd"/>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 xml:space="preserve">its best </w:t>
      </w:r>
      <w:r w:rsidR="0062033E">
        <w:rPr>
          <w:lang w:val="en-US"/>
        </w:rPr>
        <w:t>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231C149F" w14:textId="77777777"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14:paraId="231C14A0" w14:textId="77777777" w:rsidR="003950A4" w:rsidRDefault="00CA4CE3" w:rsidP="000C013C">
      <w:pPr>
        <w:pStyle w:val="IEEEHeading1"/>
        <w:numPr>
          <w:ilvl w:val="0"/>
          <w:numId w:val="0"/>
        </w:numPr>
        <w:rPr>
          <w:lang w:val="en-US"/>
        </w:rPr>
      </w:pPr>
      <w:r>
        <w:rPr>
          <w:lang w:val="en-US"/>
        </w:rPr>
        <w:t>Acknowledgment</w:t>
      </w:r>
    </w:p>
    <w:p w14:paraId="231C14A1" w14:textId="77777777"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231C14A2" w14:textId="77777777"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w:t>
      </w:r>
      <w:proofErr w:type="spellStart"/>
      <w:r w:rsidRPr="00D311F8">
        <w:t>IEEETran.cls</w:t>
      </w:r>
      <w:proofErr w:type="spellEnd"/>
      <w:r w:rsidRPr="00D311F8">
        <w:t xml:space="preserve"> </w:t>
      </w:r>
      <w:r w:rsidR="00F74B89">
        <w:t>in the IEEE LaTeX distribution</w:t>
      </w:r>
      <w:r w:rsidRPr="00D311F8">
        <w:t>.</w:t>
      </w:r>
    </w:p>
    <w:p w14:paraId="231C14A3" w14:textId="77777777" w:rsidR="001928FB" w:rsidRDefault="001928FB" w:rsidP="00F06A72">
      <w:pPr>
        <w:pStyle w:val="IEEEHeading1"/>
        <w:numPr>
          <w:ilvl w:val="0"/>
          <w:numId w:val="0"/>
        </w:numPr>
      </w:pPr>
      <w:r>
        <w:t>References</w:t>
      </w:r>
    </w:p>
    <w:p w14:paraId="231C14A4" w14:textId="77777777" w:rsidR="008B6AE3" w:rsidRDefault="0062033E" w:rsidP="008B6AE3">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231C14A5" w14:textId="77777777" w:rsidR="008B6AE3" w:rsidRDefault="0062033E" w:rsidP="008B6AE3">
      <w:pPr>
        <w:pStyle w:val="IEEEReferenceItem"/>
      </w:pPr>
      <w:r w:rsidRPr="008B6AE3">
        <w:t xml:space="preserve">J. </w:t>
      </w:r>
      <w:proofErr w:type="spellStart"/>
      <w:r w:rsidRPr="008B6AE3">
        <w:t>Breckling</w:t>
      </w:r>
      <w:proofErr w:type="spellEnd"/>
      <w:r w:rsidRPr="008B6AE3">
        <w:t xml:space="preserve">,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14:paraId="231C14A6" w14:textId="77777777" w:rsidR="008B6AE3" w:rsidRDefault="008B6AE3" w:rsidP="008B6AE3">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IEEE Electron Device Lett.</w:t>
      </w:r>
      <w:r w:rsidRPr="008B6AE3">
        <w:t>, vol. 20, pp. 569–571, Nov. 1999.</w:t>
      </w:r>
    </w:p>
    <w:p w14:paraId="231C14A7" w14:textId="77777777" w:rsidR="008B6AE3" w:rsidRPr="008B6AE3" w:rsidRDefault="008B6AE3" w:rsidP="008B6AE3">
      <w:pPr>
        <w:pStyle w:val="IEEEReferenceItem"/>
      </w:pPr>
      <w:r w:rsidRPr="008B6AE3">
        <w:t xml:space="preserve">M. </w:t>
      </w:r>
      <w:proofErr w:type="spellStart"/>
      <w:r w:rsidRPr="008B6AE3">
        <w:t>Wegmuller</w:t>
      </w:r>
      <w:proofErr w:type="spellEnd"/>
      <w:r w:rsidRPr="008B6AE3">
        <w:t xml:space="preserve">, J. P. von der </w:t>
      </w:r>
      <w:proofErr w:type="spellStart"/>
      <w:r w:rsidRPr="008B6AE3">
        <w:t>Weid</w:t>
      </w:r>
      <w:proofErr w:type="spellEnd"/>
      <w:r w:rsidRPr="008B6AE3">
        <w:t xml:space="preserve">, P. </w:t>
      </w:r>
      <w:proofErr w:type="spellStart"/>
      <w:r w:rsidRPr="008B6AE3">
        <w:t>Oberson</w:t>
      </w:r>
      <w:proofErr w:type="spellEnd"/>
      <w:r w:rsidRPr="008B6AE3">
        <w:t>,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231C14A8" w14:textId="77777777" w:rsidR="0003296C" w:rsidRPr="0003296C" w:rsidRDefault="0003296C" w:rsidP="0003296C">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14:paraId="231C14A9"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231C14AA" w14:textId="77777777"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14:paraId="231C14AB" w14:textId="77777777"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231C14AC" w14:textId="77777777"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231C14AD" w14:textId="77777777" w:rsidR="0003296C" w:rsidRPr="0003296C" w:rsidRDefault="0003296C" w:rsidP="0003296C">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231C14AE" w14:textId="77777777" w:rsidR="0003296C" w:rsidRPr="0003296C" w:rsidRDefault="0003296C" w:rsidP="0003296C">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231C14AF" w14:textId="77777777"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14:paraId="231C14B0"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231C14B1"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31BE0"/>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06090"/>
    <w:rsid w:val="00410A5D"/>
    <w:rsid w:val="00414909"/>
    <w:rsid w:val="00425A6A"/>
    <w:rsid w:val="00426FBB"/>
    <w:rsid w:val="0047429A"/>
    <w:rsid w:val="004812C0"/>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0457"/>
    <w:rsid w:val="00553510"/>
    <w:rsid w:val="00554186"/>
    <w:rsid w:val="00567B7B"/>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8351A"/>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8F526A"/>
    <w:rsid w:val="00901AE1"/>
    <w:rsid w:val="009205B4"/>
    <w:rsid w:val="00955B59"/>
    <w:rsid w:val="00960730"/>
    <w:rsid w:val="00964147"/>
    <w:rsid w:val="00992262"/>
    <w:rsid w:val="009926BC"/>
    <w:rsid w:val="009A0B29"/>
    <w:rsid w:val="009A4319"/>
    <w:rsid w:val="009A6C3F"/>
    <w:rsid w:val="009B12BE"/>
    <w:rsid w:val="009B73F2"/>
    <w:rsid w:val="009C12BD"/>
    <w:rsid w:val="009C50FE"/>
    <w:rsid w:val="00A03E75"/>
    <w:rsid w:val="00A32BFA"/>
    <w:rsid w:val="00A45FCE"/>
    <w:rsid w:val="00A67BB9"/>
    <w:rsid w:val="00A75671"/>
    <w:rsid w:val="00A773CC"/>
    <w:rsid w:val="00A9318B"/>
    <w:rsid w:val="00A94AC1"/>
    <w:rsid w:val="00AB18B7"/>
    <w:rsid w:val="00AC6FDE"/>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C481F"/>
    <w:rsid w:val="00CD4F3F"/>
    <w:rsid w:val="00D15D43"/>
    <w:rsid w:val="00D311F8"/>
    <w:rsid w:val="00D36B52"/>
    <w:rsid w:val="00D377C8"/>
    <w:rsid w:val="00D41274"/>
    <w:rsid w:val="00D414FE"/>
    <w:rsid w:val="00D43BF3"/>
    <w:rsid w:val="00D61712"/>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3B7"/>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31C1421"/>
  <w15:docId w15:val="{8393AF62-11B5-4A6B-A11C-6DCCE99B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1904</Words>
  <Characters>10859</Characters>
  <Application>Microsoft Office Word</Application>
  <DocSecurity>0</DocSecurity>
  <Lines>90</Lines>
  <Paragraphs>25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Nachiket Rao</cp:lastModifiedBy>
  <cp:revision>19</cp:revision>
  <cp:lastPrinted>2008-12-31T05:29:00Z</cp:lastPrinted>
  <dcterms:created xsi:type="dcterms:W3CDTF">2012-07-13T07:50:00Z</dcterms:created>
  <dcterms:modified xsi:type="dcterms:W3CDTF">2020-05-23T23:34:00Z</dcterms:modified>
</cp:coreProperties>
</file>