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mbria" w:hAnsi="Cambria"/>
          <w:b/>
          <w:color w:val="14233C"/>
          <w:sz w:val="36"/>
        </w:rPr>
        <w:t>Understanding the Relationship Between Pokémon Type and its Battle Role Using Official Performance Statistics: Pokémon Database, 2008–2025</w:t>
      </w:r>
    </w:p>
    <w:p>
      <w:pPr>
        <w:spacing w:after="320"/>
        <w:jc w:val="center"/>
      </w:pPr>
      <w:r>
        <w:rPr>
          <w:rFonts w:ascii="Cambria" w:hAnsi="Cambria"/>
          <w:i/>
          <w:color w:val="46505A"/>
          <w:sz w:val="22"/>
        </w:rPr>
        <w:t>Term Paper · CSD105 Intro to Data Science · Ahmedabad University</w:t>
        <w:br/>
        <w:t>Instructor: Professor Hiral Vegda</w:t>
      </w:r>
    </w:p>
    <w:tbl>
      <w:tblPr>
        <w:tblW w:type="auto" w:w="0"/>
        <w:jc w:val="center"/>
        <w:tblLook w:firstColumn="1" w:firstRow="1" w:lastColumn="0" w:lastRow="0" w:noHBand="0" w:noVBand="1" w:val="04A0"/>
      </w:tblPr>
      <w:tblGrid>
        <w:gridCol w:w="4658"/>
        <w:gridCol w:w="4658"/>
      </w:tblGrid>
      <w:tr>
        <w:tc>
          <w:tcPr>
            <w:tcW w:type="dxa" w:w="4658"/>
          </w:tcPr>
          <w:p>
            <w:pPr>
              <w:jc w:val="center"/>
            </w:pPr>
            <w:r>
              <w:rPr>
                <w:b/>
              </w:rPr>
              <w:t>AU2540195 Naman Kumar Sinha</w:t>
            </w:r>
          </w:p>
        </w:tc>
        <w:tc>
          <w:tcPr>
            <w:tcW w:type="dxa" w:w="4658"/>
          </w:tcPr>
          <w:p>
            <w:pPr>
              <w:jc w:val="center"/>
            </w:pPr>
            <w:r>
              <w:rPr>
                <w:b/>
              </w:rPr>
              <w:t>AU23L10004 Kabir Chaterjee</w:t>
            </w:r>
          </w:p>
        </w:tc>
      </w:tr>
      <w:tr>
        <w:tc>
          <w:tcPr>
            <w:tcW w:type="dxa" w:w="4658"/>
          </w:tcPr>
          <w:p>
            <w:pPr>
              <w:jc w:val="center"/>
            </w:pPr>
            <w:r>
              <w:rPr>
                <w:b/>
              </w:rPr>
              <w:t>AU2410174 Tithi Modi</w:t>
            </w:r>
          </w:p>
        </w:tc>
        <w:tc>
          <w:tcPr>
            <w:tcW w:type="dxa" w:w="4658"/>
          </w:tcPr>
          <w:p>
            <w:pPr>
              <w:jc w:val="center"/>
            </w:pPr>
            <w:r>
              <w:rPr>
                <w:b/>
              </w:rPr>
              <w:t>AU25L20003 Hazikah Kazi</w:t>
            </w:r>
          </w:p>
        </w:tc>
      </w:tr>
    </w:tbl>
    <w:p>
      <w:pPr>
        <w:spacing w:after="240"/>
      </w:pPr>
    </w:p>
    <w:p>
      <w:pPr>
        <w:pStyle w:val="Heading1"/>
        <w:keepNext/>
        <w:spacing w:before="280" w:after="120"/>
      </w:pPr>
      <w:r>
        <w:rPr>
          <w:rFonts w:ascii="Cambria" w:hAnsi="Cambria"/>
          <w:color w:val="1E2832"/>
        </w:rPr>
        <w:t>ABSTRACT</w:t>
      </w:r>
    </w:p>
    <w:p>
      <w:pPr>
        <w:spacing w:before="0" w:after="120" w:line="276" w:lineRule="auto"/>
      </w:pPr>
      <w:r>
        <w:rPr>
          <w:rFonts w:ascii="Cambria" w:hAnsi="Cambria"/>
          <w:i w:val="0"/>
          <w:sz w:val="20"/>
        </w:rPr>
        <w:t>The term paper aims to investigate the fundamental connections between a Pokémon’s elemental type and its functional battle role. The goal is to determine if the existing correlations are simply a coincidence or an actual deliberate game design framework. The study’s central essence is to find out if a statistically predictable relationship exists between classification of Type and the quantitative distribution of the six core Base Stats (HP, Attack, Defense, Special Attack, Special Defence, and Speed). Using the official Pokémon Database comprising 1,219 unique Pokémon entries across all nine generations, the analysis performs rigorous descriptive statistics, bivariate linear and monotonic rank correlation analysis (Pearson and Spearman), independent two-sample t-tests, one-way Analysis of Variance (ANOVA), and unsupervised K-Means clustering. ANOVA confirms that Type and defined Power Categories exert an overwhelmingly significant impact on Base Stats (F = 2551.92, p &lt; 1e-300 for Total Stats). Correlation analysis establishes that HP is the dominant linear anchor for overall combat potential (r = 0.6596, rho = 0.7316), while Special Attack and Special Defence exhibit structured symmetrical balancing (r = 0.5167, rho = 0.5736). K-Means clustering categorizes the population into four distinct battle roles: Walls, Sweepers, Balanced/Tanks, and Low-Stat Unevolved entities, demonstrating that elemental typing serves as a deliberate architectural proxy for combat utility.</w:t>
      </w:r>
    </w:p>
    <w:p>
      <w:pPr>
        <w:pStyle w:val="Heading1"/>
        <w:keepNext/>
        <w:spacing w:before="280" w:after="120"/>
      </w:pPr>
      <w:r>
        <w:rPr>
          <w:rFonts w:ascii="Cambria" w:hAnsi="Cambria"/>
          <w:color w:val="1E2832"/>
        </w:rPr>
        <w:t>1. INTRODUCTION</w:t>
      </w:r>
    </w:p>
    <w:p>
      <w:pPr>
        <w:spacing w:before="0" w:after="120" w:line="276" w:lineRule="auto"/>
      </w:pPr>
      <w:r>
        <w:rPr>
          <w:rFonts w:ascii="Cambria" w:hAnsi="Cambria"/>
          <w:i w:val="0"/>
          <w:sz w:val="20"/>
        </w:rPr>
        <w:t>The Pokémon franchise centers on creatures, often inspired by animals, myths, and objects, that inhabit the Pokémon world. Humans, called Trainers, journey across regions to catch, train, and battle with these creatures, with the ultimate goal of completing the Pokédex—an encyclopedic catalog of all species—and achieving the title of Pokémon Master. This core gameplay loop of collecting, optimizing, and competitive battling drives the franchise across videogames, anime, and trading cards. Pokémon statistics exist to create differentiated combat roles and ensure balance: a rapid, frail attacker is intentionally engineered differently from a slow, heavily fortified juggernaut.</w:t>
      </w:r>
    </w:p>
    <w:p>
      <w:pPr>
        <w:spacing w:before="0" w:after="120" w:line="276" w:lineRule="auto"/>
      </w:pPr>
      <w:r>
        <w:rPr>
          <w:rFonts w:ascii="Cambria" w:hAnsi="Cambria"/>
          <w:i w:val="0"/>
          <w:sz w:val="20"/>
        </w:rPr>
        <w:t>In the complex multiverse of Pokémon battling, success hinges upon interconnected variables such as elemental type, abilities, natures, and base statistics. These stats represent the biological DNA of a creature’s competitive capability. For example, high Speed combined with elite Special Attack defines a 'Special Sweeper,' designed to outpace and eliminate opposing teams before they can retaliate. This raises a fundamental research question: Are these competitive roles merely emergent coincidences of player strategy, or do they stem from a deliberate, statistically measurable design architecture embedded by Game Freak developers?</w:t>
      </w:r>
    </w:p>
    <w:p>
      <w:pPr>
        <w:spacing w:before="0" w:after="120" w:line="276" w:lineRule="auto"/>
      </w:pPr>
      <w:r>
        <w:rPr>
          <w:rFonts w:ascii="Cambria" w:hAnsi="Cambria"/>
          <w:i w:val="0"/>
          <w:sz w:val="20"/>
        </w:rPr>
        <w:t>This paper rigorously investigates the quantitative link between Elemental Type and statistical dispersion across six core attributes: HP, Attack, Defense, Special Attack, Special Defence, and Speed. By analyzing static base statistics, we create a controlled experimental setting that isolates intrinsic design parameters from situational factors like movesets and items.</w:t>
      </w:r>
    </w:p>
    <w:p>
      <w:pPr>
        <w:pStyle w:val="Heading1"/>
        <w:keepNext/>
        <w:spacing w:before="280" w:after="120"/>
      </w:pPr>
      <w:r>
        <w:rPr>
          <w:rFonts w:ascii="Cambria" w:hAnsi="Cambria"/>
          <w:color w:val="1E2832"/>
        </w:rPr>
        <w:t>2. LITERATURE REVIEW &amp; THEORETICAL FRAMEWORK</w:t>
      </w:r>
    </w:p>
    <w:p>
      <w:pPr>
        <w:spacing w:before="0" w:after="120" w:line="276" w:lineRule="auto"/>
      </w:pPr>
      <w:r>
        <w:rPr>
          <w:rFonts w:ascii="Cambria" w:hAnsi="Cambria"/>
          <w:b/>
          <w:sz w:val="20"/>
        </w:rPr>
        <w:t xml:space="preserve">Community-Defined Battle Roles: </w:t>
      </w:r>
      <w:r>
        <w:rPr>
          <w:rFonts w:ascii="Cambria" w:hAnsi="Cambria"/>
          <w:i w:val="0"/>
          <w:sz w:val="20"/>
        </w:rPr>
        <w:t>The Pokémon Database (2008–2025) and competitive battling communities (such as Smogon University) have established functional battle roles based on statistical distributions:</w:t>
      </w:r>
    </w:p>
    <w:p>
      <w:pPr>
        <w:spacing w:before="0" w:after="120" w:line="276" w:lineRule="auto"/>
      </w:pPr>
      <w:r>
        <w:rPr>
          <w:rFonts w:ascii="Cambria" w:hAnsi="Cambria"/>
          <w:b/>
          <w:sz w:val="20"/>
        </w:rPr>
        <w:t xml:space="preserve">• Glass Cannons: </w:t>
      </w:r>
      <w:r>
        <w:rPr>
          <w:rFonts w:ascii="Cambria" w:hAnsi="Cambria"/>
          <w:i w:val="0"/>
          <w:sz w:val="20"/>
        </w:rPr>
        <w:t>Creatures possessing immense Attack or Special Attack and Speed, but frail HP and Defense. Their objective is to eliminate adversaries in a single blow before sustaining counterattacks.</w:t>
      </w:r>
    </w:p>
    <w:p>
      <w:pPr>
        <w:spacing w:before="0" w:after="120" w:line="276" w:lineRule="auto"/>
      </w:pPr>
      <w:r>
        <w:rPr>
          <w:rFonts w:ascii="Cambria" w:hAnsi="Cambria"/>
          <w:b/>
          <w:sz w:val="20"/>
        </w:rPr>
        <w:t xml:space="preserve">• Walls: </w:t>
      </w:r>
      <w:r>
        <w:rPr>
          <w:rFonts w:ascii="Cambria" w:hAnsi="Cambria"/>
          <w:i w:val="0"/>
          <w:sz w:val="20"/>
        </w:rPr>
        <w:t>Defensive bastions featuring high HP, Defense, or Special Defence. Their role is to absorb sustained punishment, stall opponents, and disrupt offensive momentum.</w:t>
      </w:r>
    </w:p>
    <w:p>
      <w:pPr>
        <w:spacing w:before="0" w:after="120" w:line="276" w:lineRule="auto"/>
      </w:pPr>
      <w:r>
        <w:rPr>
          <w:rFonts w:ascii="Cambria" w:hAnsi="Cambria"/>
          <w:b/>
          <w:sz w:val="20"/>
        </w:rPr>
        <w:t xml:space="preserve">• Tanks: </w:t>
      </w:r>
      <w:r>
        <w:rPr>
          <w:rFonts w:ascii="Cambria" w:hAnsi="Cambria"/>
          <w:i w:val="0"/>
          <w:sz w:val="20"/>
        </w:rPr>
        <w:t>Hybrid combatants with substantial HP and high offensive output, engineered to both absorb incoming damage and strike back decisively.</w:t>
      </w:r>
    </w:p>
    <w:p>
      <w:pPr>
        <w:spacing w:before="0" w:after="120" w:line="276" w:lineRule="auto"/>
      </w:pPr>
      <w:r>
        <w:rPr>
          <w:rFonts w:ascii="Cambria" w:hAnsi="Cambria"/>
          <w:b/>
          <w:sz w:val="20"/>
        </w:rPr>
        <w:t xml:space="preserve">• Sweepers: </w:t>
      </w:r>
      <w:r>
        <w:rPr>
          <w:rFonts w:ascii="Cambria" w:hAnsi="Cambria"/>
          <w:i w:val="0"/>
          <w:sz w:val="20"/>
        </w:rPr>
        <w:t>High-speed offensive sweepers configured to wipe out an entire opposing lineup once defensive barriers are breached.</w:t>
      </w:r>
    </w:p>
    <w:p>
      <w:pPr>
        <w:spacing w:before="0" w:after="120" w:line="276" w:lineRule="auto"/>
      </w:pPr>
      <w:r>
        <w:rPr>
          <w:rFonts w:ascii="Cambria" w:hAnsi="Cambria"/>
          <w:b/>
          <w:sz w:val="20"/>
        </w:rPr>
        <w:t xml:space="preserve">• Pivots: </w:t>
      </w:r>
      <w:r>
        <w:rPr>
          <w:rFonts w:ascii="Cambria" w:hAnsi="Cambria"/>
          <w:i w:val="0"/>
          <w:sz w:val="20"/>
        </w:rPr>
        <w:t>Balanced creatures with superior Speed and versatile tactical switching capabilities, allowing agile momentum control.</w:t>
      </w:r>
    </w:p>
    <w:p>
      <w:pPr>
        <w:spacing w:before="0" w:after="120" w:line="276" w:lineRule="auto"/>
      </w:pPr>
      <w:r>
        <w:rPr>
          <w:rFonts w:ascii="Cambria" w:hAnsi="Cambria"/>
          <w:i w:val="0"/>
          <w:sz w:val="20"/>
        </w:rPr>
        <w:t>Prior exploratory studies on Kaggle and academic datasets have demonstrated that Pokémon Type strongly influences stat bias: Fighting types exhibit statistically superior median Attack; Psychic types show pronounced bias toward Special Attack; Rock and Steel types systematically record the highest Defense values; and Bug types anchor the lowest base stat totals. However, previous studies examined stats in isolation or applied unsupervised K-Means clustering without reconciling findings with inferential hypothesis testing. A clear methodological gap exists in synthesizing individual stat distributions with multivariate clustering. This term paper directly bridges that gap.</w:t>
      </w:r>
    </w:p>
    <w:p>
      <w:pPr>
        <w:pStyle w:val="Heading1"/>
        <w:keepNext/>
        <w:spacing w:before="280" w:after="120"/>
      </w:pPr>
      <w:r>
        <w:rPr>
          <w:rFonts w:ascii="Cambria" w:hAnsi="Cambria"/>
          <w:color w:val="1E2832"/>
        </w:rPr>
        <w:t>3. METHODOLOGY &amp; DATA PROVENANCE</w:t>
      </w:r>
    </w:p>
    <w:p>
      <w:pPr>
        <w:spacing w:before="0" w:after="120" w:line="276" w:lineRule="auto"/>
      </w:pPr>
      <w:r>
        <w:rPr>
          <w:rFonts w:ascii="Cambria" w:hAnsi="Cambria"/>
          <w:i w:val="0"/>
          <w:sz w:val="20"/>
        </w:rPr>
        <w:t>The dataset utilized in this empirical investigation comprises the official Pokémon Pokédex spanning Generations I through IX (1996–2025). The raw tabular data was acquired from the Pokémon Database (pokemondb.net/pokedex/all) and transformed into a standardized spreadsheet ('Pokemon Dataset - Sheet1.csv'). The raw dataset contained 1,220 total entries. Initial data audit revealed that row 1,220 corresponded to an extraneous web footer containing null values across all combat statistics. Dropping this non-numeric entry yielded a pristine dataset of 1,219 unique Pokémon species and regional/battle forms.</w:t>
      </w:r>
    </w:p>
    <w:p>
      <w:pPr>
        <w:spacing w:before="0" w:after="120" w:line="276" w:lineRule="auto"/>
      </w:pPr>
      <w:r>
        <w:rPr>
          <w:rFonts w:ascii="Cambria" w:hAnsi="Cambria"/>
          <w:b/>
          <w:sz w:val="20"/>
        </w:rPr>
        <w:t xml:space="preserve">Feature Engineering Formulation: </w:t>
      </w:r>
      <w:r>
        <w:rPr>
          <w:rFonts w:ascii="Cambria" w:hAnsi="Cambria"/>
          <w:i w:val="0"/>
          <w:sz w:val="20"/>
        </w:rPr>
        <w:t>To operationalize combat capability, four composite power metrics and a categorical tiering system were engineered:</w:t>
      </w:r>
    </w:p>
    <w:p>
      <w:pPr>
        <w:spacing w:before="0" w:after="120" w:line="276" w:lineRule="auto"/>
      </w:pPr>
      <w:r>
        <w:rPr>
          <w:rFonts w:ascii="Cambria" w:hAnsi="Cambria"/>
          <w:i w:val="0"/>
          <w:sz w:val="20"/>
        </w:rPr>
        <w:t>• Physical Power = (Attack + Defense) / 2</w:t>
        <w:br/>
        <w:t>• Special Power = (Special Attack + Special Defence) / 2</w:t>
        <w:br/>
        <w:t>• Offensive Power = (Attack + Special Attack) / 2</w:t>
        <w:br/>
        <w:t>• Defensive Power = (Defense + Special Defence) / 2</w:t>
        <w:br/>
        <w:t>• Power Category = Categorical stratification: Weak (0–300 BST), Average (301–450 BST), Strong (451–600 BST), Legendary (601–1200 BST).</w:t>
      </w:r>
    </w:p>
    <w:p>
      <w:pPr>
        <w:pStyle w:val="Heading1"/>
        <w:keepNext/>
        <w:spacing w:before="280" w:after="120"/>
      </w:pPr>
      <w:r>
        <w:rPr>
          <w:rFonts w:ascii="Cambria" w:hAnsi="Cambria"/>
          <w:color w:val="1E2832"/>
        </w:rPr>
        <w:t>4. EMPIRICAL ANALYSIS &amp; STATISTICAL FINDINGS</w:t>
      </w:r>
    </w:p>
    <w:p>
      <w:pPr>
        <w:pStyle w:val="Heading2"/>
        <w:keepNext/>
        <w:spacing w:before="280" w:after="120"/>
      </w:pPr>
      <w:r>
        <w:rPr>
          <w:rFonts w:ascii="Cambria" w:hAnsi="Cambria"/>
          <w:color w:val="1E2832"/>
        </w:rPr>
        <w:t>4.1 Initial Data Scope and Power Distribution</w:t>
      </w:r>
    </w:p>
    <w:p>
      <w:pPr>
        <w:spacing w:before="0" w:after="120" w:line="276" w:lineRule="auto"/>
      </w:pPr>
      <w:r>
        <w:rPr>
          <w:rFonts w:ascii="Cambria" w:hAnsi="Cambria"/>
          <w:i w:val="0"/>
          <w:sz w:val="20"/>
        </w:rPr>
        <w:t>The cleaned dataset encompasses 1219 Pokémon entries across 18 primary types. The mean Base Stat Total (BST) across the population is 443.68, slightly below the median of 465.0. This indicates a moderate negative skew, driven by the vast cohort of unevolved and mid-tier evolutionary forms balancing out high-tier outliers.</w:t>
      </w:r>
    </w:p>
    <w:p>
      <w:pPr>
        <w:spacing w:before="200" w:after="80"/>
        <w:jc w:val="center"/>
      </w:pPr>
      <w:r>
        <w:drawing>
          <wp:inline xmlns:a="http://schemas.openxmlformats.org/drawingml/2006/main" xmlns:pic="http://schemas.openxmlformats.org/drawingml/2006/picture">
            <wp:extent cx="5669280" cy="3731538"/>
            <wp:docPr id="1" name="Picture 1"/>
            <wp:cNvGraphicFramePr>
              <a:graphicFrameLocks noChangeAspect="1"/>
            </wp:cNvGraphicFramePr>
            <a:graphic>
              <a:graphicData uri="http://schemas.openxmlformats.org/drawingml/2006/picture">
                <pic:pic>
                  <pic:nvPicPr>
                    <pic:cNvPr id="0" name="figure_4_bst_distribution.png"/>
                    <pic:cNvPicPr/>
                  </pic:nvPicPr>
                  <pic:blipFill>
                    <a:blip r:embed="rId9"/>
                    <a:stretch>
                      <a:fillRect/>
                    </a:stretch>
                  </pic:blipFill>
                  <pic:spPr>
                    <a:xfrm>
                      <a:off x="0" y="0"/>
                      <a:ext cx="5669280" cy="3731538"/>
                    </a:xfrm>
                    <a:prstGeom prst="rect"/>
                  </pic:spPr>
                </pic:pic>
              </a:graphicData>
            </a:graphic>
          </wp:inline>
        </w:drawing>
      </w:r>
    </w:p>
    <w:p>
      <w:pPr>
        <w:spacing w:before="0" w:after="240"/>
        <w:jc w:val="center"/>
      </w:pPr>
      <w:r>
        <w:rPr>
          <w:rFonts w:ascii="Cambria" w:hAnsi="Cambria"/>
          <w:i/>
          <w:color w:val="505050"/>
          <w:sz w:val="17"/>
        </w:rPr>
        <w:t>Figure 1: Overall Base Stat Total (BST) Distribution with Mean and Median Marks.</w:t>
      </w:r>
    </w:p>
    <w:p>
      <w:pPr>
        <w:pStyle w:val="Heading2"/>
        <w:keepNext/>
        <w:spacing w:before="280" w:after="120"/>
      </w:pPr>
      <w:r>
        <w:rPr>
          <w:rFonts w:ascii="Cambria" w:hAnsi="Cambria"/>
          <w:color w:val="1E2832"/>
        </w:rPr>
        <w:t>4.2 Power Extremes and Dominance Hierarchy</w:t>
      </w:r>
    </w:p>
    <w:p>
      <w:pPr>
        <w:spacing w:before="0" w:after="120" w:line="276" w:lineRule="auto"/>
      </w:pPr>
      <w:r>
        <w:rPr>
          <w:rFonts w:ascii="Cambria" w:hAnsi="Cambria"/>
          <w:i w:val="0"/>
          <w:sz w:val="20"/>
        </w:rPr>
        <w:t>The strongest single entity identified in the entire franchise database is Eternatus Eternamax with an astonishing BST of 1125.0 (HP: 255, Attack: 115, Defense: 250, Sp. Atk: 125, Sp. Def: 250, Speed: 130). Eternamax Eternatus serves as the climax boss in Pokémon Sword and Shield, standing as an extreme statistical outlier far exceeding standard Legendary caps (~780 BST).</w:t>
      </w:r>
    </w:p>
    <w:p>
      <w:pPr>
        <w:spacing w:before="200" w:after="80"/>
        <w:jc w:val="center"/>
      </w:pPr>
      <w:r>
        <w:drawing>
          <wp:inline xmlns:a="http://schemas.openxmlformats.org/drawingml/2006/main" xmlns:pic="http://schemas.openxmlformats.org/drawingml/2006/picture">
            <wp:extent cx="5669280" cy="3546780"/>
            <wp:docPr id="2" name="Picture 2"/>
            <wp:cNvGraphicFramePr>
              <a:graphicFrameLocks noChangeAspect="1"/>
            </wp:cNvGraphicFramePr>
            <a:graphic>
              <a:graphicData uri="http://schemas.openxmlformats.org/drawingml/2006/picture">
                <pic:pic>
                  <pic:nvPicPr>
                    <pic:cNvPr id="0" name="figure_1_top_10_bst.png"/>
                    <pic:cNvPicPr/>
                  </pic:nvPicPr>
                  <pic:blipFill>
                    <a:blip r:embed="rId10"/>
                    <a:stretch>
                      <a:fillRect/>
                    </a:stretch>
                  </pic:blipFill>
                  <pic:spPr>
                    <a:xfrm>
                      <a:off x="0" y="0"/>
                      <a:ext cx="5669280" cy="3546780"/>
                    </a:xfrm>
                    <a:prstGeom prst="rect"/>
                  </pic:spPr>
                </pic:pic>
              </a:graphicData>
            </a:graphic>
          </wp:inline>
        </w:drawing>
      </w:r>
    </w:p>
    <w:p>
      <w:pPr>
        <w:spacing w:before="0" w:after="240"/>
        <w:jc w:val="center"/>
      </w:pPr>
      <w:r>
        <w:rPr>
          <w:rFonts w:ascii="Cambria" w:hAnsi="Cambria"/>
          <w:i/>
          <w:color w:val="505050"/>
          <w:sz w:val="17"/>
        </w:rPr>
        <w:t>Figure 2: Top 10 Pokémon Ranked by Base Stat Total (BST).</w:t>
      </w:r>
    </w:p>
    <w:tbl>
      <w:tblPr>
        <w:tblW w:type="auto" w:w="0"/>
        <w:jc w:val="center"/>
        <w:tblLook w:firstColumn="1" w:firstRow="1" w:lastColumn="0" w:lastRow="0" w:noHBand="0" w:noVBand="1" w:val="04A0"/>
      </w:tblPr>
      <w:tblGrid>
        <w:gridCol w:w="1553"/>
        <w:gridCol w:w="1553"/>
        <w:gridCol w:w="1553"/>
        <w:gridCol w:w="1553"/>
        <w:gridCol w:w="1553"/>
        <w:gridCol w:w="1553"/>
      </w:tblGrid>
      <w:tr>
        <w:trPr>
          <w:tblHeader w:val="true"/>
        </w:trPr>
        <w:tc>
          <w:tcPr>
            <w:tcW w:type="dxa" w:w="864"/>
            <w:vAlign w:val="center"/>
            <w:tcMar>
              <w:top w:w="120" w:type="dxa"/>
              <w:start w:w="120" w:type="dxa"/>
              <w:bottom w:w="120" w:type="dxa"/>
              <w:end w:w="120" w:type="dxa"/>
            </w:tcMar>
            <w:shd w:fill="2B5B84"/>
          </w:tcPr>
          <w:p>
            <w:pPr>
              <w:spacing w:before="40" w:after="40"/>
              <w:jc w:val="center"/>
            </w:pPr>
            <w:r>
              <w:rPr>
                <w:rFonts w:ascii="Cambria" w:hAnsi="Cambria"/>
                <w:b/>
                <w:color w:val="FFFFFF"/>
                <w:sz w:val="17"/>
              </w:rPr>
              <w:t>#</w:t>
            </w:r>
          </w:p>
        </w:tc>
        <w:tc>
          <w:tcPr>
            <w:tcW w:type="dxa" w:w="3168"/>
            <w:vAlign w:val="center"/>
            <w:tcMar>
              <w:top w:w="120" w:type="dxa"/>
              <w:start w:w="120" w:type="dxa"/>
              <w:bottom w:w="120" w:type="dxa"/>
              <w:end w:w="120" w:type="dxa"/>
            </w:tcMar>
            <w:shd w:fill="2B5B84"/>
          </w:tcPr>
          <w:p>
            <w:pPr>
              <w:spacing w:before="40" w:after="40"/>
              <w:jc w:val="left"/>
            </w:pPr>
            <w:r>
              <w:rPr>
                <w:rFonts w:ascii="Cambria" w:hAnsi="Cambria"/>
                <w:b/>
                <w:color w:val="FFFFFF"/>
                <w:sz w:val="17"/>
              </w:rPr>
              <w:t>Pokémon Name</w:t>
            </w:r>
          </w:p>
        </w:tc>
        <w:tc>
          <w:tcPr>
            <w:tcW w:type="dxa" w:w="1872"/>
            <w:vAlign w:val="center"/>
            <w:tcMar>
              <w:top w:w="120" w:type="dxa"/>
              <w:start w:w="120" w:type="dxa"/>
              <w:bottom w:w="120" w:type="dxa"/>
              <w:end w:w="120" w:type="dxa"/>
            </w:tcMar>
            <w:shd w:fill="2B5B84"/>
          </w:tcPr>
          <w:p>
            <w:pPr>
              <w:spacing w:before="40" w:after="40"/>
              <w:jc w:val="left"/>
            </w:pPr>
            <w:r>
              <w:rPr>
                <w:rFonts w:ascii="Cambria" w:hAnsi="Cambria"/>
                <w:b/>
                <w:color w:val="FFFFFF"/>
                <w:sz w:val="17"/>
              </w:rPr>
              <w:t>Type</w:t>
            </w:r>
          </w:p>
        </w:tc>
        <w:tc>
          <w:tcPr>
            <w:tcW w:type="dxa" w:w="1008"/>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BST</w:t>
            </w:r>
          </w:p>
        </w:tc>
        <w:tc>
          <w:tcPr>
            <w:tcW w:type="dxa" w:w="1296"/>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Atk / Def</w:t>
            </w:r>
          </w:p>
        </w:tc>
        <w:tc>
          <w:tcPr>
            <w:tcW w:type="dxa" w:w="1296"/>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SpA / SpD</w:t>
            </w:r>
          </w:p>
        </w:tc>
      </w:tr>
      <w:tr>
        <w:tc>
          <w:tcPr>
            <w:tcW w:type="dxa" w:w="864"/>
            <w:vAlign w:val="center"/>
            <w:tcMar>
              <w:top w:w="120" w:type="dxa"/>
              <w:start w:w="120" w:type="dxa"/>
              <w:bottom w:w="120" w:type="dxa"/>
              <w:end w:w="120" w:type="dxa"/>
            </w:tcMar>
            <w:shd w:fill="F7F9FA"/>
          </w:tcPr>
          <w:p>
            <w:pPr>
              <w:spacing w:before="40" w:after="40"/>
              <w:jc w:val="center"/>
            </w:pPr>
            <w:r>
              <w:rPr>
                <w:rFonts w:ascii="Cambria" w:hAnsi="Cambria"/>
                <w:sz w:val="17"/>
              </w:rPr>
              <w:t>890</w:t>
            </w:r>
          </w:p>
        </w:tc>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Eternatus Eternamax</w:t>
            </w:r>
          </w:p>
        </w:tc>
        <w:tc>
          <w:tcPr>
            <w:tcW w:type="dxa" w:w="1872"/>
            <w:vAlign w:val="center"/>
            <w:tcMar>
              <w:top w:w="120" w:type="dxa"/>
              <w:start w:w="120" w:type="dxa"/>
              <w:bottom w:w="120" w:type="dxa"/>
              <w:end w:w="120" w:type="dxa"/>
            </w:tcMar>
            <w:shd w:fill="F7F9FA"/>
          </w:tcPr>
          <w:p>
            <w:pPr>
              <w:spacing w:before="40" w:after="40"/>
              <w:jc w:val="left"/>
            </w:pPr>
            <w:r>
              <w:rPr>
                <w:rFonts w:ascii="Cambria" w:hAnsi="Cambria"/>
                <w:sz w:val="17"/>
              </w:rPr>
              <w:t>Poison/Dragon</w:t>
            </w:r>
          </w:p>
        </w:tc>
        <w:tc>
          <w:tcPr>
            <w:tcW w:type="dxa" w:w="1008"/>
            <w:vAlign w:val="center"/>
            <w:tcMar>
              <w:top w:w="120" w:type="dxa"/>
              <w:start w:w="120" w:type="dxa"/>
              <w:bottom w:w="120" w:type="dxa"/>
              <w:end w:w="120" w:type="dxa"/>
            </w:tcMar>
            <w:shd w:fill="F7F9FA"/>
          </w:tcPr>
          <w:p>
            <w:pPr>
              <w:spacing w:before="40" w:after="40"/>
              <w:jc w:val="right"/>
            </w:pPr>
            <w:r>
              <w:rPr>
                <w:rFonts w:ascii="Cambria" w:hAnsi="Cambria"/>
                <w:sz w:val="17"/>
              </w:rPr>
              <w:t>1125</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115 / 250</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125 / 250</w:t>
            </w:r>
          </w:p>
        </w:tc>
      </w:tr>
      <w:tr>
        <w:tc>
          <w:tcPr>
            <w:tcW w:type="dxa" w:w="864"/>
            <w:vAlign w:val="center"/>
            <w:tcMar>
              <w:top w:w="120" w:type="dxa"/>
              <w:start w:w="120" w:type="dxa"/>
              <w:bottom w:w="120" w:type="dxa"/>
              <w:end w:w="120" w:type="dxa"/>
            </w:tcMar>
            <w:shd w:fill="FFFFFF"/>
          </w:tcPr>
          <w:p>
            <w:pPr>
              <w:spacing w:before="40" w:after="40"/>
              <w:jc w:val="center"/>
            </w:pPr>
            <w:r>
              <w:rPr>
                <w:rFonts w:ascii="Cambria" w:hAnsi="Cambria"/>
                <w:sz w:val="17"/>
              </w:rPr>
              <w:t>150</w:t>
            </w:r>
          </w:p>
        </w:tc>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Mewtwo Mega Mewtwo X</w:t>
            </w:r>
          </w:p>
        </w:tc>
        <w:tc>
          <w:tcPr>
            <w:tcW w:type="dxa" w:w="1872"/>
            <w:vAlign w:val="center"/>
            <w:tcMar>
              <w:top w:w="120" w:type="dxa"/>
              <w:start w:w="120" w:type="dxa"/>
              <w:bottom w:w="120" w:type="dxa"/>
              <w:end w:w="120" w:type="dxa"/>
            </w:tcMar>
            <w:shd w:fill="FFFFFF"/>
          </w:tcPr>
          <w:p>
            <w:pPr>
              <w:spacing w:before="40" w:after="40"/>
              <w:jc w:val="left"/>
            </w:pPr>
            <w:r>
              <w:rPr>
                <w:rFonts w:ascii="Cambria" w:hAnsi="Cambria"/>
                <w:sz w:val="17"/>
              </w:rPr>
              <w:t>Psychic/Fighting</w:t>
            </w:r>
          </w:p>
        </w:tc>
        <w:tc>
          <w:tcPr>
            <w:tcW w:type="dxa" w:w="1008"/>
            <w:vAlign w:val="center"/>
            <w:tcMar>
              <w:top w:w="120" w:type="dxa"/>
              <w:start w:w="120" w:type="dxa"/>
              <w:bottom w:w="120" w:type="dxa"/>
              <w:end w:w="120" w:type="dxa"/>
            </w:tcMar>
            <w:shd w:fill="FFFFFF"/>
          </w:tcPr>
          <w:p>
            <w:pPr>
              <w:spacing w:before="40" w:after="40"/>
              <w:jc w:val="right"/>
            </w:pPr>
            <w:r>
              <w:rPr>
                <w:rFonts w:ascii="Cambria" w:hAnsi="Cambria"/>
                <w:sz w:val="17"/>
              </w:rPr>
              <w:t>780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190 / 100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154 / 100</w:t>
            </w:r>
          </w:p>
        </w:tc>
      </w:tr>
      <w:tr>
        <w:tc>
          <w:tcPr>
            <w:tcW w:type="dxa" w:w="864"/>
            <w:vAlign w:val="center"/>
            <w:tcMar>
              <w:top w:w="120" w:type="dxa"/>
              <w:start w:w="120" w:type="dxa"/>
              <w:bottom w:w="120" w:type="dxa"/>
              <w:end w:w="120" w:type="dxa"/>
            </w:tcMar>
            <w:shd w:fill="F7F9FA"/>
          </w:tcPr>
          <w:p>
            <w:pPr>
              <w:spacing w:before="40" w:after="40"/>
              <w:jc w:val="center"/>
            </w:pPr>
            <w:r>
              <w:rPr>
                <w:rFonts w:ascii="Cambria" w:hAnsi="Cambria"/>
                <w:sz w:val="17"/>
              </w:rPr>
              <w:t>150</w:t>
            </w:r>
          </w:p>
        </w:tc>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Mewtwo Mega Mewtwo Y</w:t>
            </w:r>
          </w:p>
        </w:tc>
        <w:tc>
          <w:tcPr>
            <w:tcW w:type="dxa" w:w="1872"/>
            <w:vAlign w:val="center"/>
            <w:tcMar>
              <w:top w:w="120" w:type="dxa"/>
              <w:start w:w="120" w:type="dxa"/>
              <w:bottom w:w="120" w:type="dxa"/>
              <w:end w:w="120" w:type="dxa"/>
            </w:tcMar>
            <w:shd w:fill="F7F9FA"/>
          </w:tcPr>
          <w:p>
            <w:pPr>
              <w:spacing w:before="40" w:after="40"/>
              <w:jc w:val="left"/>
            </w:pPr>
            <w:r>
              <w:rPr>
                <w:rFonts w:ascii="Cambria" w:hAnsi="Cambria"/>
                <w:sz w:val="17"/>
              </w:rPr>
              <w:t>Psychic</w:t>
            </w:r>
          </w:p>
        </w:tc>
        <w:tc>
          <w:tcPr>
            <w:tcW w:type="dxa" w:w="1008"/>
            <w:vAlign w:val="center"/>
            <w:tcMar>
              <w:top w:w="120" w:type="dxa"/>
              <w:start w:w="120" w:type="dxa"/>
              <w:bottom w:w="120" w:type="dxa"/>
              <w:end w:w="120" w:type="dxa"/>
            </w:tcMar>
            <w:shd w:fill="F7F9FA"/>
          </w:tcPr>
          <w:p>
            <w:pPr>
              <w:spacing w:before="40" w:after="40"/>
              <w:jc w:val="right"/>
            </w:pPr>
            <w:r>
              <w:rPr>
                <w:rFonts w:ascii="Cambria" w:hAnsi="Cambria"/>
                <w:sz w:val="17"/>
              </w:rPr>
              <w:t>780</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150 / 70</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194 / 120</w:t>
            </w:r>
          </w:p>
        </w:tc>
      </w:tr>
      <w:tr>
        <w:tc>
          <w:tcPr>
            <w:tcW w:type="dxa" w:w="864"/>
            <w:vAlign w:val="center"/>
            <w:tcMar>
              <w:top w:w="120" w:type="dxa"/>
              <w:start w:w="120" w:type="dxa"/>
              <w:bottom w:w="120" w:type="dxa"/>
              <w:end w:w="120" w:type="dxa"/>
            </w:tcMar>
            <w:shd w:fill="FFFFFF"/>
          </w:tcPr>
          <w:p>
            <w:pPr>
              <w:spacing w:before="40" w:after="40"/>
              <w:jc w:val="center"/>
            </w:pPr>
            <w:r>
              <w:rPr>
                <w:rFonts w:ascii="Cambria" w:hAnsi="Cambria"/>
                <w:sz w:val="17"/>
              </w:rPr>
              <w:t>384</w:t>
            </w:r>
          </w:p>
        </w:tc>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Rayquaza Mega Rayquaza</w:t>
            </w:r>
          </w:p>
        </w:tc>
        <w:tc>
          <w:tcPr>
            <w:tcW w:type="dxa" w:w="1872"/>
            <w:vAlign w:val="center"/>
            <w:tcMar>
              <w:top w:w="120" w:type="dxa"/>
              <w:start w:w="120" w:type="dxa"/>
              <w:bottom w:w="120" w:type="dxa"/>
              <w:end w:w="120" w:type="dxa"/>
            </w:tcMar>
            <w:shd w:fill="FFFFFF"/>
          </w:tcPr>
          <w:p>
            <w:pPr>
              <w:spacing w:before="40" w:after="40"/>
              <w:jc w:val="left"/>
            </w:pPr>
            <w:r>
              <w:rPr>
                <w:rFonts w:ascii="Cambria" w:hAnsi="Cambria"/>
                <w:sz w:val="17"/>
              </w:rPr>
              <w:t>Dragon/Flying</w:t>
            </w:r>
          </w:p>
        </w:tc>
        <w:tc>
          <w:tcPr>
            <w:tcW w:type="dxa" w:w="1008"/>
            <w:vAlign w:val="center"/>
            <w:tcMar>
              <w:top w:w="120" w:type="dxa"/>
              <w:start w:w="120" w:type="dxa"/>
              <w:bottom w:w="120" w:type="dxa"/>
              <w:end w:w="120" w:type="dxa"/>
            </w:tcMar>
            <w:shd w:fill="FFFFFF"/>
          </w:tcPr>
          <w:p>
            <w:pPr>
              <w:spacing w:before="40" w:after="40"/>
              <w:jc w:val="right"/>
            </w:pPr>
            <w:r>
              <w:rPr>
                <w:rFonts w:ascii="Cambria" w:hAnsi="Cambria"/>
                <w:sz w:val="17"/>
              </w:rPr>
              <w:t>780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180 / 100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180 / 100</w:t>
            </w:r>
          </w:p>
        </w:tc>
      </w:tr>
      <w:tr>
        <w:tc>
          <w:tcPr>
            <w:tcW w:type="dxa" w:w="864"/>
            <w:vAlign w:val="center"/>
            <w:tcMar>
              <w:top w:w="120" w:type="dxa"/>
              <w:start w:w="120" w:type="dxa"/>
              <w:bottom w:w="120" w:type="dxa"/>
              <w:end w:w="120" w:type="dxa"/>
            </w:tcMar>
            <w:shd w:fill="F7F9FA"/>
          </w:tcPr>
          <w:p>
            <w:pPr>
              <w:spacing w:before="40" w:after="40"/>
              <w:jc w:val="center"/>
            </w:pPr>
            <w:r>
              <w:rPr>
                <w:rFonts w:ascii="Cambria" w:hAnsi="Cambria"/>
                <w:sz w:val="17"/>
              </w:rPr>
              <w:t>382</w:t>
            </w:r>
          </w:p>
        </w:tc>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Kyogre Primal Kyogre</w:t>
            </w:r>
          </w:p>
        </w:tc>
        <w:tc>
          <w:tcPr>
            <w:tcW w:type="dxa" w:w="1872"/>
            <w:vAlign w:val="center"/>
            <w:tcMar>
              <w:top w:w="120" w:type="dxa"/>
              <w:start w:w="120" w:type="dxa"/>
              <w:bottom w:w="120" w:type="dxa"/>
              <w:end w:w="120" w:type="dxa"/>
            </w:tcMar>
            <w:shd w:fill="F7F9FA"/>
          </w:tcPr>
          <w:p>
            <w:pPr>
              <w:spacing w:before="40" w:after="40"/>
              <w:jc w:val="left"/>
            </w:pPr>
            <w:r>
              <w:rPr>
                <w:rFonts w:ascii="Cambria" w:hAnsi="Cambria"/>
                <w:sz w:val="17"/>
              </w:rPr>
              <w:t>Water</w:t>
            </w:r>
          </w:p>
        </w:tc>
        <w:tc>
          <w:tcPr>
            <w:tcW w:type="dxa" w:w="1008"/>
            <w:vAlign w:val="center"/>
            <w:tcMar>
              <w:top w:w="120" w:type="dxa"/>
              <w:start w:w="120" w:type="dxa"/>
              <w:bottom w:w="120" w:type="dxa"/>
              <w:end w:w="120" w:type="dxa"/>
            </w:tcMar>
            <w:shd w:fill="F7F9FA"/>
          </w:tcPr>
          <w:p>
            <w:pPr>
              <w:spacing w:before="40" w:after="40"/>
              <w:jc w:val="right"/>
            </w:pPr>
            <w:r>
              <w:rPr>
                <w:rFonts w:ascii="Cambria" w:hAnsi="Cambria"/>
                <w:sz w:val="17"/>
              </w:rPr>
              <w:t>770</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150 / 90</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180 / 160</w:t>
            </w:r>
          </w:p>
        </w:tc>
      </w:tr>
      <w:tr>
        <w:tc>
          <w:tcPr>
            <w:tcW w:type="dxa" w:w="864"/>
            <w:vAlign w:val="center"/>
            <w:tcMar>
              <w:top w:w="120" w:type="dxa"/>
              <w:start w:w="120" w:type="dxa"/>
              <w:bottom w:w="120" w:type="dxa"/>
              <w:end w:w="120" w:type="dxa"/>
            </w:tcMar>
            <w:shd w:fill="FFFFFF"/>
          </w:tcPr>
          <w:p>
            <w:pPr>
              <w:spacing w:before="40" w:after="40"/>
              <w:jc w:val="center"/>
            </w:pPr>
            <w:r>
              <w:rPr>
                <w:rFonts w:ascii="Cambria" w:hAnsi="Cambria"/>
                <w:sz w:val="17"/>
              </w:rPr>
              <w:t>383</w:t>
            </w:r>
          </w:p>
        </w:tc>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Groudon Primal Groudon</w:t>
            </w:r>
          </w:p>
        </w:tc>
        <w:tc>
          <w:tcPr>
            <w:tcW w:type="dxa" w:w="1872"/>
            <w:vAlign w:val="center"/>
            <w:tcMar>
              <w:top w:w="120" w:type="dxa"/>
              <w:start w:w="120" w:type="dxa"/>
              <w:bottom w:w="120" w:type="dxa"/>
              <w:end w:w="120" w:type="dxa"/>
            </w:tcMar>
            <w:shd w:fill="FFFFFF"/>
          </w:tcPr>
          <w:p>
            <w:pPr>
              <w:spacing w:before="40" w:after="40"/>
              <w:jc w:val="left"/>
            </w:pPr>
            <w:r>
              <w:rPr>
                <w:rFonts w:ascii="Cambria" w:hAnsi="Cambria"/>
                <w:sz w:val="17"/>
              </w:rPr>
              <w:t>Ground/Fire</w:t>
            </w:r>
          </w:p>
        </w:tc>
        <w:tc>
          <w:tcPr>
            <w:tcW w:type="dxa" w:w="1008"/>
            <w:vAlign w:val="center"/>
            <w:tcMar>
              <w:top w:w="120" w:type="dxa"/>
              <w:start w:w="120" w:type="dxa"/>
              <w:bottom w:w="120" w:type="dxa"/>
              <w:end w:w="120" w:type="dxa"/>
            </w:tcMar>
            <w:shd w:fill="FFFFFF"/>
          </w:tcPr>
          <w:p>
            <w:pPr>
              <w:spacing w:before="40" w:after="40"/>
              <w:jc w:val="right"/>
            </w:pPr>
            <w:r>
              <w:rPr>
                <w:rFonts w:ascii="Cambria" w:hAnsi="Cambria"/>
                <w:sz w:val="17"/>
              </w:rPr>
              <w:t>770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180 / 160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150 / 90</w:t>
            </w:r>
          </w:p>
        </w:tc>
      </w:tr>
      <w:tr>
        <w:tc>
          <w:tcPr>
            <w:tcW w:type="dxa" w:w="864"/>
            <w:vAlign w:val="center"/>
            <w:tcMar>
              <w:top w:w="120" w:type="dxa"/>
              <w:start w:w="120" w:type="dxa"/>
              <w:bottom w:w="120" w:type="dxa"/>
              <w:end w:w="120" w:type="dxa"/>
            </w:tcMar>
            <w:shd w:fill="F7F9FA"/>
          </w:tcPr>
          <w:p>
            <w:pPr>
              <w:spacing w:before="40" w:after="40"/>
              <w:jc w:val="center"/>
            </w:pPr>
            <w:r>
              <w:rPr>
                <w:rFonts w:ascii="Cambria" w:hAnsi="Cambria"/>
                <w:sz w:val="17"/>
              </w:rPr>
              <w:t>800</w:t>
            </w:r>
          </w:p>
        </w:tc>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Necrozma Ultra Necrozma</w:t>
            </w:r>
          </w:p>
        </w:tc>
        <w:tc>
          <w:tcPr>
            <w:tcW w:type="dxa" w:w="1872"/>
            <w:vAlign w:val="center"/>
            <w:tcMar>
              <w:top w:w="120" w:type="dxa"/>
              <w:start w:w="120" w:type="dxa"/>
              <w:bottom w:w="120" w:type="dxa"/>
              <w:end w:w="120" w:type="dxa"/>
            </w:tcMar>
            <w:shd w:fill="F7F9FA"/>
          </w:tcPr>
          <w:p>
            <w:pPr>
              <w:spacing w:before="40" w:after="40"/>
              <w:jc w:val="left"/>
            </w:pPr>
            <w:r>
              <w:rPr>
                <w:rFonts w:ascii="Cambria" w:hAnsi="Cambria"/>
                <w:sz w:val="17"/>
              </w:rPr>
              <w:t>Psychic/Dragon</w:t>
            </w:r>
          </w:p>
        </w:tc>
        <w:tc>
          <w:tcPr>
            <w:tcW w:type="dxa" w:w="1008"/>
            <w:vAlign w:val="center"/>
            <w:tcMar>
              <w:top w:w="120" w:type="dxa"/>
              <w:start w:w="120" w:type="dxa"/>
              <w:bottom w:w="120" w:type="dxa"/>
              <w:end w:w="120" w:type="dxa"/>
            </w:tcMar>
            <w:shd w:fill="F7F9FA"/>
          </w:tcPr>
          <w:p>
            <w:pPr>
              <w:spacing w:before="40" w:after="40"/>
              <w:jc w:val="right"/>
            </w:pPr>
            <w:r>
              <w:rPr>
                <w:rFonts w:ascii="Cambria" w:hAnsi="Cambria"/>
                <w:sz w:val="17"/>
              </w:rPr>
              <w:t>754</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167 / 97</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167 / 97</w:t>
            </w:r>
          </w:p>
        </w:tc>
      </w:tr>
      <w:tr>
        <w:tc>
          <w:tcPr>
            <w:tcW w:type="dxa" w:w="864"/>
            <w:vAlign w:val="center"/>
            <w:tcMar>
              <w:top w:w="120" w:type="dxa"/>
              <w:start w:w="120" w:type="dxa"/>
              <w:bottom w:w="120" w:type="dxa"/>
              <w:end w:w="120" w:type="dxa"/>
            </w:tcMar>
            <w:shd w:fill="FFFFFF"/>
          </w:tcPr>
          <w:p>
            <w:pPr>
              <w:spacing w:before="40" w:after="40"/>
              <w:jc w:val="center"/>
            </w:pPr>
            <w:r>
              <w:rPr>
                <w:rFonts w:ascii="Cambria" w:hAnsi="Cambria"/>
                <w:sz w:val="17"/>
              </w:rPr>
              <w:t>493</w:t>
            </w:r>
          </w:p>
        </w:tc>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Arceus</w:t>
            </w:r>
          </w:p>
        </w:tc>
        <w:tc>
          <w:tcPr>
            <w:tcW w:type="dxa" w:w="1872"/>
            <w:vAlign w:val="center"/>
            <w:tcMar>
              <w:top w:w="120" w:type="dxa"/>
              <w:start w:w="120" w:type="dxa"/>
              <w:bottom w:w="120" w:type="dxa"/>
              <w:end w:w="120" w:type="dxa"/>
            </w:tcMar>
            <w:shd w:fill="FFFFFF"/>
          </w:tcPr>
          <w:p>
            <w:pPr>
              <w:spacing w:before="40" w:after="40"/>
              <w:jc w:val="left"/>
            </w:pPr>
            <w:r>
              <w:rPr>
                <w:rFonts w:ascii="Cambria" w:hAnsi="Cambria"/>
                <w:sz w:val="17"/>
              </w:rPr>
              <w:t>Normal</w:t>
            </w:r>
          </w:p>
        </w:tc>
        <w:tc>
          <w:tcPr>
            <w:tcW w:type="dxa" w:w="1008"/>
            <w:vAlign w:val="center"/>
            <w:tcMar>
              <w:top w:w="120" w:type="dxa"/>
              <w:start w:w="120" w:type="dxa"/>
              <w:bottom w:w="120" w:type="dxa"/>
              <w:end w:w="120" w:type="dxa"/>
            </w:tcMar>
            <w:shd w:fill="FFFFFF"/>
          </w:tcPr>
          <w:p>
            <w:pPr>
              <w:spacing w:before="40" w:after="40"/>
              <w:jc w:val="right"/>
            </w:pPr>
            <w:r>
              <w:rPr>
                <w:rFonts w:ascii="Cambria" w:hAnsi="Cambria"/>
                <w:sz w:val="17"/>
              </w:rPr>
              <w:t>720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120 / 120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120 / 120</w:t>
            </w:r>
          </w:p>
        </w:tc>
      </w:tr>
      <w:tr>
        <w:tc>
          <w:tcPr>
            <w:tcW w:type="dxa" w:w="864"/>
            <w:vAlign w:val="center"/>
            <w:tcMar>
              <w:top w:w="120" w:type="dxa"/>
              <w:start w:w="120" w:type="dxa"/>
              <w:bottom w:w="120" w:type="dxa"/>
              <w:end w:w="120" w:type="dxa"/>
            </w:tcMar>
            <w:shd w:fill="F7F9FA"/>
          </w:tcPr>
          <w:p>
            <w:pPr>
              <w:spacing w:before="40" w:after="40"/>
              <w:jc w:val="center"/>
            </w:pPr>
            <w:r>
              <w:rPr>
                <w:rFonts w:ascii="Cambria" w:hAnsi="Cambria"/>
                <w:sz w:val="17"/>
              </w:rPr>
              <w:t>718</w:t>
            </w:r>
          </w:p>
        </w:tc>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Zygarde Complete Forme</w:t>
            </w:r>
          </w:p>
        </w:tc>
        <w:tc>
          <w:tcPr>
            <w:tcW w:type="dxa" w:w="1872"/>
            <w:vAlign w:val="center"/>
            <w:tcMar>
              <w:top w:w="120" w:type="dxa"/>
              <w:start w:w="120" w:type="dxa"/>
              <w:bottom w:w="120" w:type="dxa"/>
              <w:end w:w="120" w:type="dxa"/>
            </w:tcMar>
            <w:shd w:fill="F7F9FA"/>
          </w:tcPr>
          <w:p>
            <w:pPr>
              <w:spacing w:before="40" w:after="40"/>
              <w:jc w:val="left"/>
            </w:pPr>
            <w:r>
              <w:rPr>
                <w:rFonts w:ascii="Cambria" w:hAnsi="Cambria"/>
                <w:sz w:val="17"/>
              </w:rPr>
              <w:t>Dragon/Ground</w:t>
            </w:r>
          </w:p>
        </w:tc>
        <w:tc>
          <w:tcPr>
            <w:tcW w:type="dxa" w:w="1008"/>
            <w:vAlign w:val="center"/>
            <w:tcMar>
              <w:top w:w="120" w:type="dxa"/>
              <w:start w:w="120" w:type="dxa"/>
              <w:bottom w:w="120" w:type="dxa"/>
              <w:end w:w="120" w:type="dxa"/>
            </w:tcMar>
            <w:shd w:fill="F7F9FA"/>
          </w:tcPr>
          <w:p>
            <w:pPr>
              <w:spacing w:before="40" w:after="40"/>
              <w:jc w:val="right"/>
            </w:pPr>
            <w:r>
              <w:rPr>
                <w:rFonts w:ascii="Cambria" w:hAnsi="Cambria"/>
                <w:sz w:val="17"/>
              </w:rPr>
              <w:t>708</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100 / 121</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91 / 95</w:t>
            </w:r>
          </w:p>
        </w:tc>
      </w:tr>
      <w:tr>
        <w:tc>
          <w:tcPr>
            <w:tcW w:type="dxa" w:w="864"/>
            <w:vAlign w:val="center"/>
            <w:tcMar>
              <w:top w:w="120" w:type="dxa"/>
              <w:start w:w="120" w:type="dxa"/>
              <w:bottom w:w="120" w:type="dxa"/>
              <w:end w:w="120" w:type="dxa"/>
            </w:tcMar>
            <w:shd w:fill="FFFFFF"/>
          </w:tcPr>
          <w:p>
            <w:pPr>
              <w:spacing w:before="40" w:after="40"/>
              <w:jc w:val="center"/>
            </w:pPr>
            <w:r>
              <w:rPr>
                <w:rFonts w:ascii="Cambria" w:hAnsi="Cambria"/>
                <w:sz w:val="17"/>
              </w:rPr>
              <w:t>149</w:t>
            </w:r>
          </w:p>
        </w:tc>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Dragonite Mega Dragonite</w:t>
            </w:r>
          </w:p>
        </w:tc>
        <w:tc>
          <w:tcPr>
            <w:tcW w:type="dxa" w:w="1872"/>
            <w:vAlign w:val="center"/>
            <w:tcMar>
              <w:top w:w="120" w:type="dxa"/>
              <w:start w:w="120" w:type="dxa"/>
              <w:bottom w:w="120" w:type="dxa"/>
              <w:end w:w="120" w:type="dxa"/>
            </w:tcMar>
            <w:shd w:fill="FFFFFF"/>
          </w:tcPr>
          <w:p>
            <w:pPr>
              <w:spacing w:before="40" w:after="40"/>
              <w:jc w:val="left"/>
            </w:pPr>
            <w:r>
              <w:rPr>
                <w:rFonts w:ascii="Cambria" w:hAnsi="Cambria"/>
                <w:sz w:val="17"/>
              </w:rPr>
              <w:t>Dragon/Flying</w:t>
            </w:r>
          </w:p>
        </w:tc>
        <w:tc>
          <w:tcPr>
            <w:tcW w:type="dxa" w:w="1008"/>
            <w:vAlign w:val="center"/>
            <w:tcMar>
              <w:top w:w="120" w:type="dxa"/>
              <w:start w:w="120" w:type="dxa"/>
              <w:bottom w:w="120" w:type="dxa"/>
              <w:end w:w="120" w:type="dxa"/>
            </w:tcMar>
            <w:shd w:fill="FFFFFF"/>
          </w:tcPr>
          <w:p>
            <w:pPr>
              <w:spacing w:before="40" w:after="40"/>
              <w:jc w:val="right"/>
            </w:pPr>
            <w:r>
              <w:rPr>
                <w:rFonts w:ascii="Cambria" w:hAnsi="Cambria"/>
                <w:sz w:val="17"/>
              </w:rPr>
              <w:t>700</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124 / 115</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145 / 125</w:t>
            </w:r>
          </w:p>
        </w:tc>
      </w:tr>
    </w:tbl>
    <w:p>
      <w:pPr>
        <w:spacing w:after="160"/>
      </w:pPr>
    </w:p>
    <w:p>
      <w:pPr>
        <w:pStyle w:val="Heading2"/>
        <w:keepNext/>
        <w:spacing w:before="280" w:after="120"/>
      </w:pPr>
      <w:r>
        <w:rPr>
          <w:rFonts w:ascii="Cambria" w:hAnsi="Cambria"/>
          <w:color w:val="1E2832"/>
        </w:rPr>
        <w:t>4.3 Correlation Analysis: Structural Inter-Stat Dependencies</w:t>
      </w:r>
    </w:p>
    <w:p>
      <w:pPr>
        <w:spacing w:before="0" w:after="120" w:line="276" w:lineRule="auto"/>
      </w:pPr>
      <w:r>
        <w:rPr>
          <w:rFonts w:ascii="Cambria" w:hAnsi="Cambria"/>
          <w:i w:val="0"/>
          <w:sz w:val="20"/>
        </w:rPr>
        <w:t>To explore structural dependencies within the battle engine, both Pearson (linear) and Spearman (monotonic rank) correlation coefficients were calculated across all pairs. All five primary focal pairs exhibited statistically significant relationships (p &lt; 0.001):</w:t>
      </w:r>
    </w:p>
    <w:tbl>
      <w:tblPr>
        <w:tblW w:type="auto" w:w="0"/>
        <w:jc w:val="center"/>
        <w:tblLook w:firstColumn="1" w:firstRow="1" w:lastColumn="0" w:lastRow="0" w:noHBand="0" w:noVBand="1" w:val="04A0"/>
      </w:tblPr>
      <w:tblGrid>
        <w:gridCol w:w="1863"/>
        <w:gridCol w:w="1863"/>
        <w:gridCol w:w="1863"/>
        <w:gridCol w:w="1863"/>
        <w:gridCol w:w="1863"/>
      </w:tblGrid>
      <w:tr>
        <w:trPr>
          <w:tblHeader w:val="true"/>
        </w:trPr>
        <w:tc>
          <w:tcPr>
            <w:tcW w:type="dxa" w:w="3168"/>
            <w:vAlign w:val="center"/>
            <w:tcMar>
              <w:top w:w="120" w:type="dxa"/>
              <w:start w:w="120" w:type="dxa"/>
              <w:bottom w:w="120" w:type="dxa"/>
              <w:end w:w="120" w:type="dxa"/>
            </w:tcMar>
            <w:shd w:fill="2B5B84"/>
          </w:tcPr>
          <w:p>
            <w:pPr>
              <w:spacing w:before="40" w:after="40"/>
              <w:jc w:val="left"/>
            </w:pPr>
            <w:r>
              <w:rPr>
                <w:rFonts w:ascii="Cambria" w:hAnsi="Cambria"/>
                <w:b/>
                <w:color w:val="FFFFFF"/>
                <w:sz w:val="17"/>
              </w:rPr>
              <w:t>Stat Pair</w:t>
            </w:r>
          </w:p>
        </w:tc>
        <w:tc>
          <w:tcPr>
            <w:tcW w:type="dxa" w:w="1440"/>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Pearson r</w:t>
            </w:r>
          </w:p>
        </w:tc>
        <w:tc>
          <w:tcPr>
            <w:tcW w:type="dxa" w:w="1872"/>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Pearson p-value</w:t>
            </w:r>
          </w:p>
        </w:tc>
        <w:tc>
          <w:tcPr>
            <w:tcW w:type="dxa" w:w="1440"/>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Spearman rho</w:t>
            </w:r>
          </w:p>
        </w:tc>
        <w:tc>
          <w:tcPr>
            <w:tcW w:type="dxa" w:w="1440"/>
            <w:vAlign w:val="center"/>
            <w:tcMar>
              <w:top w:w="120" w:type="dxa"/>
              <w:start w:w="120" w:type="dxa"/>
              <w:bottom w:w="120" w:type="dxa"/>
              <w:end w:w="120" w:type="dxa"/>
            </w:tcMar>
            <w:shd w:fill="2B5B84"/>
          </w:tcPr>
          <w:p>
            <w:pPr>
              <w:spacing w:before="40" w:after="40"/>
              <w:jc w:val="center"/>
            </w:pPr>
            <w:r>
              <w:rPr>
                <w:rFonts w:ascii="Cambria" w:hAnsi="Cambria"/>
                <w:b/>
                <w:color w:val="FFFFFF"/>
                <w:sz w:val="17"/>
              </w:rPr>
              <w:t>Significant?</w:t>
            </w:r>
          </w:p>
        </w:tc>
      </w:tr>
      <w:tr>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Attack vs Defense</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0.4695</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7.4042e-68</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0.5278</w:t>
            </w:r>
          </w:p>
        </w:tc>
        <w:tc>
          <w:tcPr>
            <w:tcW w:type="dxa" w:w="1440"/>
            <w:vAlign w:val="center"/>
            <w:tcMar>
              <w:top w:w="120" w:type="dxa"/>
              <w:start w:w="120" w:type="dxa"/>
              <w:bottom w:w="120" w:type="dxa"/>
              <w:end w:w="120" w:type="dxa"/>
            </w:tcMar>
            <w:shd w:fill="F7F9FA"/>
          </w:tcPr>
          <w:p>
            <w:pPr>
              <w:spacing w:before="40" w:after="40"/>
              <w:jc w:val="center"/>
            </w:pPr>
            <w:r>
              <w:rPr>
                <w:rFonts w:ascii="Cambria" w:hAnsi="Cambria"/>
                <w:sz w:val="17"/>
              </w:rPr>
              <w:t>Yes (p &lt; 0.05)</w:t>
            </w:r>
          </w:p>
        </w:tc>
      </w:tr>
      <w:tr>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Sp. Atk vs Sp. Def</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0.5167</w:t>
            </w:r>
          </w:p>
        </w:tc>
        <w:tc>
          <w:tcPr>
            <w:tcW w:type="dxa" w:w="1872"/>
            <w:vAlign w:val="center"/>
            <w:tcMar>
              <w:top w:w="120" w:type="dxa"/>
              <w:start w:w="120" w:type="dxa"/>
              <w:bottom w:w="120" w:type="dxa"/>
              <w:end w:w="120" w:type="dxa"/>
            </w:tcMar>
            <w:shd w:fill="FFFFFF"/>
          </w:tcPr>
          <w:p>
            <w:pPr>
              <w:spacing w:before="40" w:after="40"/>
              <w:jc w:val="right"/>
            </w:pPr>
            <w:r>
              <w:rPr>
                <w:rFonts w:ascii="Cambria" w:hAnsi="Cambria"/>
                <w:sz w:val="17"/>
              </w:rPr>
              <w:t>3.6826e-84</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0.5736</w:t>
            </w:r>
          </w:p>
        </w:tc>
        <w:tc>
          <w:tcPr>
            <w:tcW w:type="dxa" w:w="1440"/>
            <w:vAlign w:val="center"/>
            <w:tcMar>
              <w:top w:w="120" w:type="dxa"/>
              <w:start w:w="120" w:type="dxa"/>
              <w:bottom w:w="120" w:type="dxa"/>
              <w:end w:w="120" w:type="dxa"/>
            </w:tcMar>
            <w:shd w:fill="FFFFFF"/>
          </w:tcPr>
          <w:p>
            <w:pPr>
              <w:spacing w:before="40" w:after="40"/>
              <w:jc w:val="center"/>
            </w:pPr>
            <w:r>
              <w:rPr>
                <w:rFonts w:ascii="Cambria" w:hAnsi="Cambria"/>
                <w:sz w:val="17"/>
              </w:rPr>
              <w:t>Yes (p &lt; 0.05)</w:t>
            </w:r>
          </w:p>
        </w:tc>
      </w:tr>
      <w:tr>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HP vs Total</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0.6596</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4.0050e-153</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0.7316</w:t>
            </w:r>
          </w:p>
        </w:tc>
        <w:tc>
          <w:tcPr>
            <w:tcW w:type="dxa" w:w="1440"/>
            <w:vAlign w:val="center"/>
            <w:tcMar>
              <w:top w:w="120" w:type="dxa"/>
              <w:start w:w="120" w:type="dxa"/>
              <w:bottom w:w="120" w:type="dxa"/>
              <w:end w:w="120" w:type="dxa"/>
            </w:tcMar>
            <w:shd w:fill="F7F9FA"/>
          </w:tcPr>
          <w:p>
            <w:pPr>
              <w:spacing w:before="40" w:after="40"/>
              <w:jc w:val="center"/>
            </w:pPr>
            <w:r>
              <w:rPr>
                <w:rFonts w:ascii="Cambria" w:hAnsi="Cambria"/>
                <w:sz w:val="17"/>
              </w:rPr>
              <w:t>Yes (p &lt; 0.05)</w:t>
            </w:r>
          </w:p>
        </w:tc>
      </w:tr>
      <w:tr>
        <w:tc>
          <w:tcPr>
            <w:tcW w:type="dxa" w:w="3168"/>
            <w:vAlign w:val="center"/>
            <w:tcMar>
              <w:top w:w="120" w:type="dxa"/>
              <w:start w:w="120" w:type="dxa"/>
              <w:bottom w:w="120" w:type="dxa"/>
              <w:end w:w="120" w:type="dxa"/>
            </w:tcMar>
            <w:shd w:fill="FFFFFF"/>
          </w:tcPr>
          <w:p>
            <w:pPr>
              <w:spacing w:before="40" w:after="40"/>
              <w:jc w:val="left"/>
            </w:pPr>
            <w:r>
              <w:rPr>
                <w:rFonts w:ascii="Cambria" w:hAnsi="Cambria"/>
                <w:sz w:val="17"/>
              </w:rPr>
              <w:t>Speed vs Total</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0.5633</w:t>
            </w:r>
          </w:p>
        </w:tc>
        <w:tc>
          <w:tcPr>
            <w:tcW w:type="dxa" w:w="1872"/>
            <w:vAlign w:val="center"/>
            <w:tcMar>
              <w:top w:w="120" w:type="dxa"/>
              <w:start w:w="120" w:type="dxa"/>
              <w:bottom w:w="120" w:type="dxa"/>
              <w:end w:w="120" w:type="dxa"/>
            </w:tcMar>
            <w:shd w:fill="FFFFFF"/>
          </w:tcPr>
          <w:p>
            <w:pPr>
              <w:spacing w:before="40" w:after="40"/>
              <w:jc w:val="right"/>
            </w:pPr>
            <w:r>
              <w:rPr>
                <w:rFonts w:ascii="Cambria" w:hAnsi="Cambria"/>
                <w:sz w:val="17"/>
              </w:rPr>
              <w:t>5.4847e-103</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0.5511</w:t>
            </w:r>
          </w:p>
        </w:tc>
        <w:tc>
          <w:tcPr>
            <w:tcW w:type="dxa" w:w="1440"/>
            <w:vAlign w:val="center"/>
            <w:tcMar>
              <w:top w:w="120" w:type="dxa"/>
              <w:start w:w="120" w:type="dxa"/>
              <w:bottom w:w="120" w:type="dxa"/>
              <w:end w:w="120" w:type="dxa"/>
            </w:tcMar>
            <w:shd w:fill="FFFFFF"/>
          </w:tcPr>
          <w:p>
            <w:pPr>
              <w:spacing w:before="40" w:after="40"/>
              <w:jc w:val="center"/>
            </w:pPr>
            <w:r>
              <w:rPr>
                <w:rFonts w:ascii="Cambria" w:hAnsi="Cambria"/>
                <w:sz w:val="17"/>
              </w:rPr>
              <w:t>Yes (p &lt; 0.05)</w:t>
            </w:r>
          </w:p>
        </w:tc>
      </w:tr>
      <w:tr>
        <w:tc>
          <w:tcPr>
            <w:tcW w:type="dxa" w:w="3168"/>
            <w:vAlign w:val="center"/>
            <w:tcMar>
              <w:top w:w="120" w:type="dxa"/>
              <w:start w:w="120" w:type="dxa"/>
              <w:bottom w:w="120" w:type="dxa"/>
              <w:end w:w="120" w:type="dxa"/>
            </w:tcMar>
            <w:shd w:fill="F7F9FA"/>
          </w:tcPr>
          <w:p>
            <w:pPr>
              <w:spacing w:before="40" w:after="40"/>
              <w:jc w:val="left"/>
            </w:pPr>
            <w:r>
              <w:rPr>
                <w:rFonts w:ascii="Cambria" w:hAnsi="Cambria"/>
                <w:sz w:val="17"/>
              </w:rPr>
              <w:t>Attack vs Sp. Atk</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0.3307</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1.6785e-32</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0.3186</w:t>
            </w:r>
          </w:p>
        </w:tc>
        <w:tc>
          <w:tcPr>
            <w:tcW w:type="dxa" w:w="1440"/>
            <w:vAlign w:val="center"/>
            <w:tcMar>
              <w:top w:w="120" w:type="dxa"/>
              <w:start w:w="120" w:type="dxa"/>
              <w:bottom w:w="120" w:type="dxa"/>
              <w:end w:w="120" w:type="dxa"/>
            </w:tcMar>
            <w:shd w:fill="F7F9FA"/>
          </w:tcPr>
          <w:p>
            <w:pPr>
              <w:spacing w:before="40" w:after="40"/>
              <w:jc w:val="center"/>
            </w:pPr>
            <w:r>
              <w:rPr>
                <w:rFonts w:ascii="Cambria" w:hAnsi="Cambria"/>
                <w:sz w:val="17"/>
              </w:rPr>
              <w:t>Yes (p &lt; 0.05)</w:t>
            </w:r>
          </w:p>
        </w:tc>
      </w:tr>
    </w:tbl>
    <w:p>
      <w:pPr>
        <w:spacing w:after="160"/>
      </w:pPr>
    </w:p>
    <w:p>
      <w:pPr>
        <w:spacing w:before="200" w:after="80"/>
        <w:jc w:val="center"/>
      </w:pPr>
      <w:r>
        <w:drawing>
          <wp:inline xmlns:a="http://schemas.openxmlformats.org/drawingml/2006/main" xmlns:pic="http://schemas.openxmlformats.org/drawingml/2006/picture">
            <wp:extent cx="5669280" cy="5091983"/>
            <wp:docPr id="3" name="Picture 3"/>
            <wp:cNvGraphicFramePr>
              <a:graphicFrameLocks noChangeAspect="1"/>
            </wp:cNvGraphicFramePr>
            <a:graphic>
              <a:graphicData uri="http://schemas.openxmlformats.org/drawingml/2006/picture">
                <pic:pic>
                  <pic:nvPicPr>
                    <pic:cNvPr id="0" name="figure_3_correlation_heatmap.png"/>
                    <pic:cNvPicPr/>
                  </pic:nvPicPr>
                  <pic:blipFill>
                    <a:blip r:embed="rId11"/>
                    <a:stretch>
                      <a:fillRect/>
                    </a:stretch>
                  </pic:blipFill>
                  <pic:spPr>
                    <a:xfrm>
                      <a:off x="0" y="0"/>
                      <a:ext cx="5669280" cy="5091983"/>
                    </a:xfrm>
                    <a:prstGeom prst="rect"/>
                  </pic:spPr>
                </pic:pic>
              </a:graphicData>
            </a:graphic>
          </wp:inline>
        </w:drawing>
      </w:r>
    </w:p>
    <w:p>
      <w:pPr>
        <w:spacing w:before="0" w:after="240"/>
        <w:jc w:val="center"/>
      </w:pPr>
      <w:r>
        <w:rPr>
          <w:rFonts w:ascii="Cambria" w:hAnsi="Cambria"/>
          <w:i/>
          <w:color w:val="505050"/>
          <w:sz w:val="17"/>
        </w:rPr>
        <w:t>Figure 3: Full Correlation Heatmap of All Seven Numerical Parameters.</w:t>
      </w:r>
    </w:p>
    <w:p>
      <w:pPr>
        <w:spacing w:before="200" w:after="80"/>
        <w:jc w:val="center"/>
      </w:pPr>
      <w:r>
        <w:drawing>
          <wp:inline xmlns:a="http://schemas.openxmlformats.org/drawingml/2006/main" xmlns:pic="http://schemas.openxmlformats.org/drawingml/2006/picture">
            <wp:extent cx="5669280" cy="4391115"/>
            <wp:docPr id="4" name="Picture 4"/>
            <wp:cNvGraphicFramePr>
              <a:graphicFrameLocks noChangeAspect="1"/>
            </wp:cNvGraphicFramePr>
            <a:graphic>
              <a:graphicData uri="http://schemas.openxmlformats.org/drawingml/2006/picture">
                <pic:pic>
                  <pic:nvPicPr>
                    <pic:cNvPr id="0" name="figure_2_attack_vs_defense.png"/>
                    <pic:cNvPicPr/>
                  </pic:nvPicPr>
                  <pic:blipFill>
                    <a:blip r:embed="rId12"/>
                    <a:stretch>
                      <a:fillRect/>
                    </a:stretch>
                  </pic:blipFill>
                  <pic:spPr>
                    <a:xfrm>
                      <a:off x="0" y="0"/>
                      <a:ext cx="5669280" cy="4391115"/>
                    </a:xfrm>
                    <a:prstGeom prst="rect"/>
                  </pic:spPr>
                </pic:pic>
              </a:graphicData>
            </a:graphic>
          </wp:inline>
        </w:drawing>
      </w:r>
    </w:p>
    <w:p>
      <w:pPr>
        <w:spacing w:before="0" w:after="240"/>
        <w:jc w:val="center"/>
      </w:pPr>
      <w:r>
        <w:rPr>
          <w:rFonts w:ascii="Cambria" w:hAnsi="Cambria"/>
          <w:i/>
          <w:color w:val="505050"/>
          <w:sz w:val="17"/>
        </w:rPr>
        <w:t>Figure 4: Scatter Plot of Attack vs Defense, Color-coded by Base Stat Total.</w:t>
      </w:r>
    </w:p>
    <w:p>
      <w:pPr>
        <w:pStyle w:val="Heading2"/>
        <w:keepNext/>
        <w:spacing w:before="280" w:after="120"/>
      </w:pPr>
      <w:r>
        <w:rPr>
          <w:rFonts w:ascii="Cambria" w:hAnsi="Cambria"/>
          <w:color w:val="1E2832"/>
        </w:rPr>
        <w:t>4.4 Hypothesis Testing: T-Test Verification of Strong vs. Legendary Power</w:t>
      </w:r>
    </w:p>
    <w:p>
      <w:pPr>
        <w:spacing w:before="0" w:after="120" w:line="276" w:lineRule="auto"/>
      </w:pPr>
      <w:r>
        <w:rPr>
          <w:rFonts w:ascii="Cambria" w:hAnsi="Cambria"/>
          <w:i w:val="0"/>
          <w:sz w:val="20"/>
        </w:rPr>
        <w:t>To rigorously confirm whether the human-defined 'Legendary' classification represents an objectively superior tier rather than a narrative label, independent two-sample t-tests were conducted comparing the 'Strong' tier (BST 451–600, N=479) against the 'Legendary' tier (BST 601–1200, N=114). The null hypothesis posited equal population means across tiers.</w:t>
      </w:r>
    </w:p>
    <w:tbl>
      <w:tblPr>
        <w:tblW w:type="auto" w:w="0"/>
        <w:jc w:val="center"/>
        <w:tblLook w:firstColumn="1" w:firstRow="1" w:lastColumn="0" w:lastRow="0" w:noHBand="0" w:noVBand="1" w:val="04A0"/>
      </w:tblPr>
      <w:tblGrid>
        <w:gridCol w:w="1553"/>
        <w:gridCol w:w="1553"/>
        <w:gridCol w:w="1553"/>
        <w:gridCol w:w="1553"/>
        <w:gridCol w:w="1553"/>
        <w:gridCol w:w="1553"/>
      </w:tblGrid>
      <w:tr>
        <w:trPr>
          <w:tblHeader w:val="true"/>
        </w:trPr>
        <w:tc>
          <w:tcPr>
            <w:tcW w:type="dxa" w:w="1728"/>
            <w:vAlign w:val="center"/>
            <w:tcMar>
              <w:top w:w="120" w:type="dxa"/>
              <w:start w:w="120" w:type="dxa"/>
              <w:bottom w:w="120" w:type="dxa"/>
              <w:end w:w="120" w:type="dxa"/>
            </w:tcMar>
            <w:shd w:fill="2B5B84"/>
          </w:tcPr>
          <w:p>
            <w:pPr>
              <w:spacing w:before="40" w:after="40"/>
              <w:jc w:val="left"/>
            </w:pPr>
            <w:r>
              <w:rPr>
                <w:rFonts w:ascii="Cambria" w:hAnsi="Cambria"/>
                <w:b/>
                <w:color w:val="FFFFFF"/>
                <w:sz w:val="17"/>
              </w:rPr>
              <w:t>Base Stat</w:t>
            </w:r>
          </w:p>
        </w:tc>
        <w:tc>
          <w:tcPr>
            <w:tcW w:type="dxa" w:w="1440"/>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Strong Mean</w:t>
            </w:r>
          </w:p>
        </w:tc>
        <w:tc>
          <w:tcPr>
            <w:tcW w:type="dxa" w:w="1584"/>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Legendary Mean</w:t>
            </w:r>
          </w:p>
        </w:tc>
        <w:tc>
          <w:tcPr>
            <w:tcW w:type="dxa" w:w="1440"/>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t-statistic</w:t>
            </w:r>
          </w:p>
        </w:tc>
        <w:tc>
          <w:tcPr>
            <w:tcW w:type="dxa" w:w="1872"/>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p-value</w:t>
            </w:r>
          </w:p>
        </w:tc>
        <w:tc>
          <w:tcPr>
            <w:tcW w:type="dxa" w:w="1296"/>
            <w:vAlign w:val="center"/>
            <w:tcMar>
              <w:top w:w="120" w:type="dxa"/>
              <w:start w:w="120" w:type="dxa"/>
              <w:bottom w:w="120" w:type="dxa"/>
              <w:end w:w="120" w:type="dxa"/>
            </w:tcMar>
            <w:shd w:fill="2B5B84"/>
          </w:tcPr>
          <w:p>
            <w:pPr>
              <w:spacing w:before="40" w:after="40"/>
              <w:jc w:val="right"/>
            </w:pPr>
            <w:r>
              <w:rPr>
                <w:rFonts w:ascii="Cambria" w:hAnsi="Cambria"/>
                <w:b/>
                <w:color w:val="FFFFFF"/>
                <w:sz w:val="17"/>
              </w:rPr>
              <w:t>Cohen's d</w:t>
            </w:r>
          </w:p>
        </w:tc>
      </w:tr>
      <w:tr>
        <w:tc>
          <w:tcPr>
            <w:tcW w:type="dxa" w:w="1728"/>
            <w:vAlign w:val="center"/>
            <w:tcMar>
              <w:top w:w="120" w:type="dxa"/>
              <w:start w:w="120" w:type="dxa"/>
              <w:bottom w:w="120" w:type="dxa"/>
              <w:end w:w="120" w:type="dxa"/>
            </w:tcMar>
            <w:shd w:fill="F7F9FA"/>
          </w:tcPr>
          <w:p>
            <w:pPr>
              <w:spacing w:before="40" w:after="40"/>
              <w:jc w:val="left"/>
            </w:pPr>
            <w:r>
              <w:rPr>
                <w:rFonts w:ascii="Cambria" w:hAnsi="Cambria"/>
                <w:sz w:val="17"/>
              </w:rPr>
              <w:t>HP</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82.73</w:t>
            </w:r>
          </w:p>
        </w:tc>
        <w:tc>
          <w:tcPr>
            <w:tcW w:type="dxa" w:w="1584"/>
            <w:vAlign w:val="center"/>
            <w:tcMar>
              <w:top w:w="120" w:type="dxa"/>
              <w:start w:w="120" w:type="dxa"/>
              <w:bottom w:w="120" w:type="dxa"/>
              <w:end w:w="120" w:type="dxa"/>
            </w:tcMar>
            <w:shd w:fill="F7F9FA"/>
          </w:tcPr>
          <w:p>
            <w:pPr>
              <w:spacing w:before="40" w:after="40"/>
              <w:jc w:val="right"/>
            </w:pPr>
            <w:r>
              <w:rPr>
                <w:rFonts w:ascii="Cambria" w:hAnsi="Cambria"/>
                <w:sz w:val="17"/>
              </w:rPr>
              <w:t>102.72</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-6.7077</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4.2693e-11</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0.84</w:t>
            </w:r>
          </w:p>
        </w:tc>
      </w:tr>
      <w:tr>
        <w:tc>
          <w:tcPr>
            <w:tcW w:type="dxa" w:w="1728"/>
            <w:vAlign w:val="center"/>
            <w:tcMar>
              <w:top w:w="120" w:type="dxa"/>
              <w:start w:w="120" w:type="dxa"/>
              <w:bottom w:w="120" w:type="dxa"/>
              <w:end w:w="120" w:type="dxa"/>
            </w:tcMar>
            <w:shd w:fill="FFFFFF"/>
          </w:tcPr>
          <w:p>
            <w:pPr>
              <w:spacing w:before="40" w:after="40"/>
              <w:jc w:val="left"/>
            </w:pPr>
            <w:r>
              <w:rPr>
                <w:rFonts w:ascii="Cambria" w:hAnsi="Cambria"/>
                <w:sz w:val="17"/>
              </w:rPr>
              <w:t>Attack</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95.31</w:t>
            </w:r>
          </w:p>
        </w:tc>
        <w:tc>
          <w:tcPr>
            <w:tcW w:type="dxa" w:w="1584"/>
            <w:vAlign w:val="center"/>
            <w:tcMar>
              <w:top w:w="120" w:type="dxa"/>
              <w:start w:w="120" w:type="dxa"/>
              <w:bottom w:w="120" w:type="dxa"/>
              <w:end w:w="120" w:type="dxa"/>
            </w:tcMar>
            <w:shd w:fill="FFFFFF"/>
          </w:tcPr>
          <w:p>
            <w:pPr>
              <w:spacing w:before="40" w:after="40"/>
              <w:jc w:val="right"/>
            </w:pPr>
            <w:r>
              <w:rPr>
                <w:rFonts w:ascii="Cambria" w:hAnsi="Cambria"/>
                <w:sz w:val="17"/>
              </w:rPr>
              <w:t>131.68</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-10.9851</w:t>
            </w:r>
          </w:p>
        </w:tc>
        <w:tc>
          <w:tcPr>
            <w:tcW w:type="dxa" w:w="1872"/>
            <w:vAlign w:val="center"/>
            <w:tcMar>
              <w:top w:w="120" w:type="dxa"/>
              <w:start w:w="120" w:type="dxa"/>
              <w:bottom w:w="120" w:type="dxa"/>
              <w:end w:w="120" w:type="dxa"/>
            </w:tcMar>
            <w:shd w:fill="FFFFFF"/>
          </w:tcPr>
          <w:p>
            <w:pPr>
              <w:spacing w:before="40" w:after="40"/>
              <w:jc w:val="right"/>
            </w:pPr>
            <w:r>
              <w:rPr>
                <w:rFonts w:ascii="Cambria" w:hAnsi="Cambria"/>
                <w:sz w:val="17"/>
              </w:rPr>
              <w:t>6.8785e-26</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1.38</w:t>
            </w:r>
          </w:p>
        </w:tc>
      </w:tr>
      <w:tr>
        <w:tc>
          <w:tcPr>
            <w:tcW w:type="dxa" w:w="1728"/>
            <w:vAlign w:val="center"/>
            <w:tcMar>
              <w:top w:w="120" w:type="dxa"/>
              <w:start w:w="120" w:type="dxa"/>
              <w:bottom w:w="120" w:type="dxa"/>
              <w:end w:w="120" w:type="dxa"/>
            </w:tcMar>
            <w:shd w:fill="F7F9FA"/>
          </w:tcPr>
          <w:p>
            <w:pPr>
              <w:spacing w:before="40" w:after="40"/>
              <w:jc w:val="left"/>
            </w:pPr>
            <w:r>
              <w:rPr>
                <w:rFonts w:ascii="Cambria" w:hAnsi="Cambria"/>
                <w:sz w:val="17"/>
              </w:rPr>
              <w:t>Defense</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87.56</w:t>
            </w:r>
          </w:p>
        </w:tc>
        <w:tc>
          <w:tcPr>
            <w:tcW w:type="dxa" w:w="1584"/>
            <w:vAlign w:val="center"/>
            <w:tcMar>
              <w:top w:w="120" w:type="dxa"/>
              <w:start w:w="120" w:type="dxa"/>
              <w:bottom w:w="120" w:type="dxa"/>
              <w:end w:w="120" w:type="dxa"/>
            </w:tcMar>
            <w:shd w:fill="F7F9FA"/>
          </w:tcPr>
          <w:p>
            <w:pPr>
              <w:spacing w:before="40" w:after="40"/>
              <w:jc w:val="right"/>
            </w:pPr>
            <w:r>
              <w:rPr>
                <w:rFonts w:ascii="Cambria" w:hAnsi="Cambria"/>
                <w:sz w:val="17"/>
              </w:rPr>
              <w:t>111.45</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-6.8050</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2.2795e-11</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0.85</w:t>
            </w:r>
          </w:p>
        </w:tc>
      </w:tr>
      <w:tr>
        <w:tc>
          <w:tcPr>
            <w:tcW w:type="dxa" w:w="1728"/>
            <w:vAlign w:val="center"/>
            <w:tcMar>
              <w:top w:w="120" w:type="dxa"/>
              <w:start w:w="120" w:type="dxa"/>
              <w:bottom w:w="120" w:type="dxa"/>
              <w:end w:w="120" w:type="dxa"/>
            </w:tcMar>
            <w:shd w:fill="FFFFFF"/>
          </w:tcPr>
          <w:p>
            <w:pPr>
              <w:spacing w:before="40" w:after="40"/>
              <w:jc w:val="left"/>
            </w:pPr>
            <w:r>
              <w:rPr>
                <w:rFonts w:ascii="Cambria" w:hAnsi="Cambria"/>
                <w:sz w:val="17"/>
              </w:rPr>
              <w:t>Sp. Atk</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86.94</w:t>
            </w:r>
          </w:p>
        </w:tc>
        <w:tc>
          <w:tcPr>
            <w:tcW w:type="dxa" w:w="1584"/>
            <w:vAlign w:val="center"/>
            <w:tcMar>
              <w:top w:w="120" w:type="dxa"/>
              <w:start w:w="120" w:type="dxa"/>
              <w:bottom w:w="120" w:type="dxa"/>
              <w:end w:w="120" w:type="dxa"/>
            </w:tcMar>
            <w:shd w:fill="FFFFFF"/>
          </w:tcPr>
          <w:p>
            <w:pPr>
              <w:spacing w:before="40" w:after="40"/>
              <w:jc w:val="right"/>
            </w:pPr>
            <w:r>
              <w:rPr>
                <w:rFonts w:ascii="Cambria" w:hAnsi="Cambria"/>
                <w:sz w:val="17"/>
              </w:rPr>
              <w:t>126.30</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-10.8274</w:t>
            </w:r>
          </w:p>
        </w:tc>
        <w:tc>
          <w:tcPr>
            <w:tcW w:type="dxa" w:w="1872"/>
            <w:vAlign w:val="center"/>
            <w:tcMar>
              <w:top w:w="120" w:type="dxa"/>
              <w:start w:w="120" w:type="dxa"/>
              <w:bottom w:w="120" w:type="dxa"/>
              <w:end w:w="120" w:type="dxa"/>
            </w:tcMar>
            <w:shd w:fill="FFFFFF"/>
          </w:tcPr>
          <w:p>
            <w:pPr>
              <w:spacing w:before="40" w:after="40"/>
              <w:jc w:val="right"/>
            </w:pPr>
            <w:r>
              <w:rPr>
                <w:rFonts w:ascii="Cambria" w:hAnsi="Cambria"/>
                <w:sz w:val="17"/>
              </w:rPr>
              <w:t>2.9859e-25</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1.36</w:t>
            </w:r>
          </w:p>
        </w:tc>
      </w:tr>
      <w:tr>
        <w:tc>
          <w:tcPr>
            <w:tcW w:type="dxa" w:w="1728"/>
            <w:vAlign w:val="center"/>
            <w:tcMar>
              <w:top w:w="120" w:type="dxa"/>
              <w:start w:w="120" w:type="dxa"/>
              <w:bottom w:w="120" w:type="dxa"/>
              <w:end w:w="120" w:type="dxa"/>
            </w:tcMar>
            <w:shd w:fill="F7F9FA"/>
          </w:tcPr>
          <w:p>
            <w:pPr>
              <w:spacing w:before="40" w:after="40"/>
              <w:jc w:val="left"/>
            </w:pPr>
            <w:r>
              <w:rPr>
                <w:rFonts w:ascii="Cambria" w:hAnsi="Cambria"/>
                <w:sz w:val="17"/>
              </w:rPr>
              <w:t>Sp. Def</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85.26</w:t>
            </w:r>
          </w:p>
        </w:tc>
        <w:tc>
          <w:tcPr>
            <w:tcW w:type="dxa" w:w="1584"/>
            <w:vAlign w:val="center"/>
            <w:tcMar>
              <w:top w:w="120" w:type="dxa"/>
              <w:start w:w="120" w:type="dxa"/>
              <w:bottom w:w="120" w:type="dxa"/>
              <w:end w:w="120" w:type="dxa"/>
            </w:tcMar>
            <w:shd w:fill="F7F9FA"/>
          </w:tcPr>
          <w:p>
            <w:pPr>
              <w:spacing w:before="40" w:after="40"/>
              <w:jc w:val="right"/>
            </w:pPr>
            <w:r>
              <w:rPr>
                <w:rFonts w:ascii="Cambria" w:hAnsi="Cambria"/>
                <w:sz w:val="17"/>
              </w:rPr>
              <w:t>110.58</w:t>
            </w:r>
          </w:p>
        </w:tc>
        <w:tc>
          <w:tcPr>
            <w:tcW w:type="dxa" w:w="1440"/>
            <w:vAlign w:val="center"/>
            <w:tcMar>
              <w:top w:w="120" w:type="dxa"/>
              <w:start w:w="120" w:type="dxa"/>
              <w:bottom w:w="120" w:type="dxa"/>
              <w:end w:w="120" w:type="dxa"/>
            </w:tcMar>
            <w:shd w:fill="F7F9FA"/>
          </w:tcPr>
          <w:p>
            <w:pPr>
              <w:spacing w:before="40" w:after="40"/>
              <w:jc w:val="right"/>
            </w:pPr>
            <w:r>
              <w:rPr>
                <w:rFonts w:ascii="Cambria" w:hAnsi="Cambria"/>
                <w:sz w:val="17"/>
              </w:rPr>
              <w:t>-8.5845</w:t>
            </w:r>
          </w:p>
        </w:tc>
        <w:tc>
          <w:tcPr>
            <w:tcW w:type="dxa" w:w="1872"/>
            <w:vAlign w:val="center"/>
            <w:tcMar>
              <w:top w:w="120" w:type="dxa"/>
              <w:start w:w="120" w:type="dxa"/>
              <w:bottom w:w="120" w:type="dxa"/>
              <w:end w:w="120" w:type="dxa"/>
            </w:tcMar>
            <w:shd w:fill="F7F9FA"/>
          </w:tcPr>
          <w:p>
            <w:pPr>
              <w:spacing w:before="40" w:after="40"/>
              <w:jc w:val="right"/>
            </w:pPr>
            <w:r>
              <w:rPr>
                <w:rFonts w:ascii="Cambria" w:hAnsi="Cambria"/>
                <w:sz w:val="17"/>
              </w:rPr>
              <w:t>6.5847e-17</w:t>
            </w:r>
          </w:p>
        </w:tc>
        <w:tc>
          <w:tcPr>
            <w:tcW w:type="dxa" w:w="1296"/>
            <w:vAlign w:val="center"/>
            <w:tcMar>
              <w:top w:w="120" w:type="dxa"/>
              <w:start w:w="120" w:type="dxa"/>
              <w:bottom w:w="120" w:type="dxa"/>
              <w:end w:w="120" w:type="dxa"/>
            </w:tcMar>
            <w:shd w:fill="F7F9FA"/>
          </w:tcPr>
          <w:p>
            <w:pPr>
              <w:spacing w:before="40" w:after="40"/>
              <w:jc w:val="right"/>
            </w:pPr>
            <w:r>
              <w:rPr>
                <w:rFonts w:ascii="Cambria" w:hAnsi="Cambria"/>
                <w:sz w:val="17"/>
              </w:rPr>
              <w:t>1.08</w:t>
            </w:r>
          </w:p>
        </w:tc>
      </w:tr>
      <w:tr>
        <w:tc>
          <w:tcPr>
            <w:tcW w:type="dxa" w:w="1728"/>
            <w:vAlign w:val="center"/>
            <w:tcMar>
              <w:top w:w="120" w:type="dxa"/>
              <w:start w:w="120" w:type="dxa"/>
              <w:bottom w:w="120" w:type="dxa"/>
              <w:end w:w="120" w:type="dxa"/>
            </w:tcMar>
            <w:shd w:fill="FFFFFF"/>
          </w:tcPr>
          <w:p>
            <w:pPr>
              <w:spacing w:before="40" w:after="40"/>
              <w:jc w:val="left"/>
            </w:pPr>
            <w:r>
              <w:rPr>
                <w:rFonts w:ascii="Cambria" w:hAnsi="Cambria"/>
                <w:sz w:val="17"/>
              </w:rPr>
              <w:t>Speed</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80.73</w:t>
            </w:r>
          </w:p>
        </w:tc>
        <w:tc>
          <w:tcPr>
            <w:tcW w:type="dxa" w:w="1584"/>
            <w:vAlign w:val="center"/>
            <w:tcMar>
              <w:top w:w="120" w:type="dxa"/>
              <w:start w:w="120" w:type="dxa"/>
              <w:bottom w:w="120" w:type="dxa"/>
              <w:end w:w="120" w:type="dxa"/>
            </w:tcMar>
            <w:shd w:fill="FFFFFF"/>
          </w:tcPr>
          <w:p>
            <w:pPr>
              <w:spacing w:before="40" w:after="40"/>
              <w:jc w:val="right"/>
            </w:pPr>
            <w:r>
              <w:rPr>
                <w:rFonts w:ascii="Cambria" w:hAnsi="Cambria"/>
                <w:sz w:val="17"/>
              </w:rPr>
              <w:t>101.10</w:t>
            </w:r>
          </w:p>
        </w:tc>
        <w:tc>
          <w:tcPr>
            <w:tcW w:type="dxa" w:w="1440"/>
            <w:vAlign w:val="center"/>
            <w:tcMar>
              <w:top w:w="120" w:type="dxa"/>
              <w:start w:w="120" w:type="dxa"/>
              <w:bottom w:w="120" w:type="dxa"/>
              <w:end w:w="120" w:type="dxa"/>
            </w:tcMar>
            <w:shd w:fill="FFFFFF"/>
          </w:tcPr>
          <w:p>
            <w:pPr>
              <w:spacing w:before="40" w:after="40"/>
              <w:jc w:val="right"/>
            </w:pPr>
            <w:r>
              <w:rPr>
                <w:rFonts w:ascii="Cambria" w:hAnsi="Cambria"/>
                <w:sz w:val="17"/>
              </w:rPr>
              <w:t>-5.6130</w:t>
            </w:r>
          </w:p>
        </w:tc>
        <w:tc>
          <w:tcPr>
            <w:tcW w:type="dxa" w:w="1872"/>
            <w:vAlign w:val="center"/>
            <w:tcMar>
              <w:top w:w="120" w:type="dxa"/>
              <w:start w:w="120" w:type="dxa"/>
              <w:bottom w:w="120" w:type="dxa"/>
              <w:end w:w="120" w:type="dxa"/>
            </w:tcMar>
            <w:shd w:fill="FFFFFF"/>
          </w:tcPr>
          <w:p>
            <w:pPr>
              <w:spacing w:before="40" w:after="40"/>
              <w:jc w:val="right"/>
            </w:pPr>
            <w:r>
              <w:rPr>
                <w:rFonts w:ascii="Cambria" w:hAnsi="Cambria"/>
                <w:sz w:val="17"/>
              </w:rPr>
              <w:t>2.9341e-08</w:t>
            </w:r>
          </w:p>
        </w:tc>
        <w:tc>
          <w:tcPr>
            <w:tcW w:type="dxa" w:w="1296"/>
            <w:vAlign w:val="center"/>
            <w:tcMar>
              <w:top w:w="120" w:type="dxa"/>
              <w:start w:w="120" w:type="dxa"/>
              <w:bottom w:w="120" w:type="dxa"/>
              <w:end w:w="120" w:type="dxa"/>
            </w:tcMar>
            <w:shd w:fill="FFFFFF"/>
          </w:tcPr>
          <w:p>
            <w:pPr>
              <w:spacing w:before="40" w:after="40"/>
              <w:jc w:val="right"/>
            </w:pPr>
            <w:r>
              <w:rPr>
                <w:rFonts w:ascii="Cambria" w:hAnsi="Cambria"/>
                <w:sz w:val="17"/>
              </w:rPr>
              <w:t>0.71</w:t>
            </w:r>
          </w:p>
        </w:tc>
      </w:tr>
    </w:tbl>
    <w:p>
      <w:pPr>
        <w:spacing w:after="160"/>
      </w:pPr>
    </w:p>
    <w:p>
      <w:pPr>
        <w:spacing w:before="200" w:after="80"/>
        <w:jc w:val="center"/>
      </w:pPr>
      <w:r>
        <w:drawing>
          <wp:inline xmlns:a="http://schemas.openxmlformats.org/drawingml/2006/main" xmlns:pic="http://schemas.openxmlformats.org/drawingml/2006/picture">
            <wp:extent cx="5669280" cy="3438461"/>
            <wp:docPr id="5" name="Picture 5"/>
            <wp:cNvGraphicFramePr>
              <a:graphicFrameLocks noChangeAspect="1"/>
            </wp:cNvGraphicFramePr>
            <a:graphic>
              <a:graphicData uri="http://schemas.openxmlformats.org/drawingml/2006/picture">
                <pic:pic>
                  <pic:nvPicPr>
                    <pic:cNvPr id="0" name="figure_9_strong_vs_legendary_stats.png"/>
                    <pic:cNvPicPr/>
                  </pic:nvPicPr>
                  <pic:blipFill>
                    <a:blip r:embed="rId13"/>
                    <a:stretch>
                      <a:fillRect/>
                    </a:stretch>
                  </pic:blipFill>
                  <pic:spPr>
                    <a:xfrm>
                      <a:off x="0" y="0"/>
                      <a:ext cx="5669280" cy="3438461"/>
                    </a:xfrm>
                    <a:prstGeom prst="rect"/>
                  </pic:spPr>
                </pic:pic>
              </a:graphicData>
            </a:graphic>
          </wp:inline>
        </w:drawing>
      </w:r>
    </w:p>
    <w:p>
      <w:pPr>
        <w:spacing w:before="0" w:after="240"/>
        <w:jc w:val="center"/>
      </w:pPr>
      <w:r>
        <w:rPr>
          <w:rFonts w:ascii="Cambria" w:hAnsi="Cambria"/>
          <w:i/>
          <w:color w:val="505050"/>
          <w:sz w:val="17"/>
        </w:rPr>
        <w:t>Figure 5: Mean Base Stat Comparison: Strong vs Legendary Pokémon.</w:t>
      </w:r>
    </w:p>
    <w:p>
      <w:pPr>
        <w:pStyle w:val="Heading2"/>
        <w:keepNext/>
        <w:spacing w:before="280" w:after="120"/>
      </w:pPr>
      <w:r>
        <w:rPr>
          <w:rFonts w:ascii="Cambria" w:hAnsi="Cambria"/>
          <w:color w:val="1E2832"/>
        </w:rPr>
        <w:t>4.5 Analysis of Variance (ANOVA): Power Tier Stratification</w:t>
      </w:r>
    </w:p>
    <w:p>
      <w:pPr>
        <w:spacing w:before="0" w:after="120" w:line="276" w:lineRule="auto"/>
      </w:pPr>
      <w:r>
        <w:rPr>
          <w:rFonts w:ascii="Cambria" w:hAnsi="Cambria"/>
          <w:i w:val="0"/>
          <w:sz w:val="20"/>
        </w:rPr>
        <w:t>One-Way Analysis of Variance was executed across the four defined tiers: Weak (Mean BST = 261.50), Average (Mean BST = 370.14), Strong (Mean BST = 518.53), and Legendary (Mean BST = 683.82). The resulting F-statistic was astronomical: F = 2551.92 (p = 0.000e+00). This definitively rejects the null hypothesis of equal group means, verifying that each tier occupies an unmistakably distinct power echelon.</w:t>
      </w:r>
    </w:p>
    <w:p>
      <w:pPr>
        <w:spacing w:before="200" w:after="80"/>
        <w:jc w:val="center"/>
      </w:pPr>
      <w:r>
        <w:drawing>
          <wp:inline xmlns:a="http://schemas.openxmlformats.org/drawingml/2006/main" xmlns:pic="http://schemas.openxmlformats.org/drawingml/2006/picture">
            <wp:extent cx="5669280" cy="3616375"/>
            <wp:docPr id="6" name="Picture 6"/>
            <wp:cNvGraphicFramePr>
              <a:graphicFrameLocks noChangeAspect="1"/>
            </wp:cNvGraphicFramePr>
            <a:graphic>
              <a:graphicData uri="http://schemas.openxmlformats.org/drawingml/2006/picture">
                <pic:pic>
                  <pic:nvPicPr>
                    <pic:cNvPr id="0" name="figure_5_stat_boxplots_by_category.png"/>
                    <pic:cNvPicPr/>
                  </pic:nvPicPr>
                  <pic:blipFill>
                    <a:blip r:embed="rId14"/>
                    <a:stretch>
                      <a:fillRect/>
                    </a:stretch>
                  </pic:blipFill>
                  <pic:spPr>
                    <a:xfrm>
                      <a:off x="0" y="0"/>
                      <a:ext cx="5669280" cy="3616375"/>
                    </a:xfrm>
                    <a:prstGeom prst="rect"/>
                  </pic:spPr>
                </pic:pic>
              </a:graphicData>
            </a:graphic>
          </wp:inline>
        </w:drawing>
      </w:r>
    </w:p>
    <w:p>
      <w:pPr>
        <w:spacing w:before="0" w:after="240"/>
        <w:jc w:val="center"/>
      </w:pPr>
      <w:r>
        <w:rPr>
          <w:rFonts w:ascii="Cambria" w:hAnsi="Cambria"/>
          <w:i/>
          <w:color w:val="505050"/>
          <w:sz w:val="17"/>
        </w:rPr>
        <w:t>Figure 6: Boxplots of Six Base Stats Across Four Power Categories.</w:t>
      </w:r>
    </w:p>
    <w:p>
      <w:pPr>
        <w:spacing w:before="200" w:after="80"/>
        <w:jc w:val="center"/>
      </w:pPr>
      <w:r>
        <w:drawing>
          <wp:inline xmlns:a="http://schemas.openxmlformats.org/drawingml/2006/main" xmlns:pic="http://schemas.openxmlformats.org/drawingml/2006/picture">
            <wp:extent cx="5669280" cy="3416523"/>
            <wp:docPr id="7" name="Picture 7"/>
            <wp:cNvGraphicFramePr>
              <a:graphicFrameLocks noChangeAspect="1"/>
            </wp:cNvGraphicFramePr>
            <a:graphic>
              <a:graphicData uri="http://schemas.openxmlformats.org/drawingml/2006/picture">
                <pic:pic>
                  <pic:nvPicPr>
                    <pic:cNvPr id="0" name="figure_7_individual_stat_distributions.png"/>
                    <pic:cNvPicPr/>
                  </pic:nvPicPr>
                  <pic:blipFill>
                    <a:blip r:embed="rId15"/>
                    <a:stretch>
                      <a:fillRect/>
                    </a:stretch>
                  </pic:blipFill>
                  <pic:spPr>
                    <a:xfrm>
                      <a:off x="0" y="0"/>
                      <a:ext cx="5669280" cy="3416523"/>
                    </a:xfrm>
                    <a:prstGeom prst="rect"/>
                  </pic:spPr>
                </pic:pic>
              </a:graphicData>
            </a:graphic>
          </wp:inline>
        </w:drawing>
      </w:r>
    </w:p>
    <w:p>
      <w:pPr>
        <w:spacing w:before="0" w:after="240"/>
        <w:jc w:val="center"/>
      </w:pPr>
      <w:r>
        <w:rPr>
          <w:rFonts w:ascii="Cambria" w:hAnsi="Cambria"/>
          <w:i/>
          <w:color w:val="505050"/>
          <w:sz w:val="17"/>
        </w:rPr>
        <w:t>Figure 7: Histograms and Kernel Density Estimates for All Six Base Stats.</w:t>
      </w:r>
    </w:p>
    <w:p>
      <w:pPr>
        <w:pStyle w:val="Heading2"/>
        <w:keepNext/>
        <w:spacing w:before="280" w:after="120"/>
      </w:pPr>
      <w:r>
        <w:rPr>
          <w:rFonts w:ascii="Cambria" w:hAnsi="Cambria"/>
          <w:color w:val="1E2832"/>
        </w:rPr>
        <w:t>4.6 Elemental Type Stratification &amp; Power Disparity</w:t>
      </w:r>
    </w:p>
    <w:p>
      <w:pPr>
        <w:spacing w:before="0" w:after="120" w:line="276" w:lineRule="auto"/>
      </w:pPr>
      <w:r>
        <w:rPr>
          <w:rFonts w:ascii="Cambria" w:hAnsi="Cambria"/>
          <w:i w:val="0"/>
          <w:sz w:val="20"/>
        </w:rPr>
        <w:t>Analyzing mean BST across the 18 primary types demonstrates that Game Freak designs elemental classes with distinct strategic tiers. Dragon, Steel, and Psychic types dominate the upper echelon of power, driven by late-game availability and legendary representation. In contrast, Bug and Normal types occupy the lower tier, reflective of early-route encounters with rapid evolutionary lines.</w:t>
      </w:r>
    </w:p>
    <w:p>
      <w:pPr>
        <w:spacing w:before="200" w:after="80"/>
        <w:jc w:val="center"/>
      </w:pPr>
      <w:r>
        <w:drawing>
          <wp:inline xmlns:a="http://schemas.openxmlformats.org/drawingml/2006/main" xmlns:pic="http://schemas.openxmlformats.org/drawingml/2006/picture">
            <wp:extent cx="5669280" cy="5011420"/>
            <wp:docPr id="8" name="Picture 8"/>
            <wp:cNvGraphicFramePr>
              <a:graphicFrameLocks noChangeAspect="1"/>
            </wp:cNvGraphicFramePr>
            <a:graphic>
              <a:graphicData uri="http://schemas.openxmlformats.org/drawingml/2006/picture">
                <pic:pic>
                  <pic:nvPicPr>
                    <pic:cNvPr id="0" name="figure_6_type_average_bst.png"/>
                    <pic:cNvPicPr/>
                  </pic:nvPicPr>
                  <pic:blipFill>
                    <a:blip r:embed="rId16"/>
                    <a:stretch>
                      <a:fillRect/>
                    </a:stretch>
                  </pic:blipFill>
                  <pic:spPr>
                    <a:xfrm>
                      <a:off x="0" y="0"/>
                      <a:ext cx="5669280" cy="5011420"/>
                    </a:xfrm>
                    <a:prstGeom prst="rect"/>
                  </pic:spPr>
                </pic:pic>
              </a:graphicData>
            </a:graphic>
          </wp:inline>
        </w:drawing>
      </w:r>
    </w:p>
    <w:p>
      <w:pPr>
        <w:spacing w:before="0" w:after="240"/>
        <w:jc w:val="center"/>
      </w:pPr>
      <w:r>
        <w:rPr>
          <w:rFonts w:ascii="Cambria" w:hAnsi="Cambria"/>
          <w:i/>
          <w:color w:val="505050"/>
          <w:sz w:val="17"/>
        </w:rPr>
        <w:t>Figure 8: Pokémon Types Ranked by Average Total Base Stats.</w:t>
      </w:r>
    </w:p>
    <w:p>
      <w:pPr>
        <w:spacing w:before="200" w:after="80"/>
        <w:jc w:val="center"/>
      </w:pPr>
      <w:r>
        <w:drawing>
          <wp:inline xmlns:a="http://schemas.openxmlformats.org/drawingml/2006/main" xmlns:pic="http://schemas.openxmlformats.org/drawingml/2006/picture">
            <wp:extent cx="5669280" cy="5947576"/>
            <wp:docPr id="9" name="Picture 9"/>
            <wp:cNvGraphicFramePr>
              <a:graphicFrameLocks noChangeAspect="1"/>
            </wp:cNvGraphicFramePr>
            <a:graphic>
              <a:graphicData uri="http://schemas.openxmlformats.org/drawingml/2006/picture">
                <pic:pic>
                  <pic:nvPicPr>
                    <pic:cNvPr id="0" name="figure_8_primary_type_pie_chart.png"/>
                    <pic:cNvPicPr/>
                  </pic:nvPicPr>
                  <pic:blipFill>
                    <a:blip r:embed="rId17"/>
                    <a:stretch>
                      <a:fillRect/>
                    </a:stretch>
                  </pic:blipFill>
                  <pic:spPr>
                    <a:xfrm>
                      <a:off x="0" y="0"/>
                      <a:ext cx="5669280" cy="5947576"/>
                    </a:xfrm>
                    <a:prstGeom prst="rect"/>
                  </pic:spPr>
                </pic:pic>
              </a:graphicData>
            </a:graphic>
          </wp:inline>
        </w:drawing>
      </w:r>
    </w:p>
    <w:p>
      <w:pPr>
        <w:spacing w:before="0" w:after="240"/>
        <w:jc w:val="center"/>
      </w:pPr>
      <w:r>
        <w:rPr>
          <w:rFonts w:ascii="Cambria" w:hAnsi="Cambria"/>
          <w:i/>
          <w:color w:val="505050"/>
          <w:sz w:val="17"/>
        </w:rPr>
        <w:t>Figure 9: Primary Elemental Type Proportional Breakdown.</w:t>
      </w:r>
    </w:p>
    <w:p>
      <w:pPr>
        <w:pStyle w:val="Heading2"/>
        <w:keepNext/>
        <w:spacing w:before="280" w:after="120"/>
      </w:pPr>
      <w:r>
        <w:rPr>
          <w:rFonts w:ascii="Cambria" w:hAnsi="Cambria"/>
          <w:color w:val="1E2832"/>
        </w:rPr>
        <w:t>4.7 Unsupervised K-Means Clustering of Combat Archetypes</w:t>
      </w:r>
    </w:p>
    <w:p>
      <w:pPr>
        <w:spacing w:before="0" w:after="120" w:line="276" w:lineRule="auto"/>
      </w:pPr>
      <w:r>
        <w:rPr>
          <w:rFonts w:ascii="Cambria" w:hAnsi="Cambria"/>
          <w:i w:val="0"/>
          <w:sz w:val="20"/>
        </w:rPr>
        <w:t>Applying K-Means clustering (k=4) on standardized 6-stat vectors resolves the Pokémon multiverse into four empirical battle archetypes: (1) Low-Stat Unevolved creatures, (2) Fast Offensive Sweepers, (3) Walls/Defensive Specialists, and (4) Balanced Tanks. Cross-tabulating these clusters against elemental typing proves that a creature's typing strongly influences its probability of occupying a given tactical combat archetype.</w:t>
      </w:r>
    </w:p>
    <w:p>
      <w:pPr>
        <w:spacing w:before="200" w:after="80"/>
        <w:jc w:val="center"/>
      </w:pPr>
      <w:r>
        <w:drawing>
          <wp:inline xmlns:a="http://schemas.openxmlformats.org/drawingml/2006/main" xmlns:pic="http://schemas.openxmlformats.org/drawingml/2006/picture">
            <wp:extent cx="5669280" cy="4346949"/>
            <wp:docPr id="10" name="Picture 10"/>
            <wp:cNvGraphicFramePr>
              <a:graphicFrameLocks noChangeAspect="1"/>
            </wp:cNvGraphicFramePr>
            <a:graphic>
              <a:graphicData uri="http://schemas.openxmlformats.org/drawingml/2006/picture">
                <pic:pic>
                  <pic:nvPicPr>
                    <pic:cNvPr id="0" name="figure_10_cluster_battle_roles.png"/>
                    <pic:cNvPicPr/>
                  </pic:nvPicPr>
                  <pic:blipFill>
                    <a:blip r:embed="rId18"/>
                    <a:stretch>
                      <a:fillRect/>
                    </a:stretch>
                  </pic:blipFill>
                  <pic:spPr>
                    <a:xfrm>
                      <a:off x="0" y="0"/>
                      <a:ext cx="5669280" cy="4346949"/>
                    </a:xfrm>
                    <a:prstGeom prst="rect"/>
                  </pic:spPr>
                </pic:pic>
              </a:graphicData>
            </a:graphic>
          </wp:inline>
        </w:drawing>
      </w:r>
    </w:p>
    <w:p>
      <w:pPr>
        <w:spacing w:before="0" w:after="240"/>
        <w:jc w:val="center"/>
      </w:pPr>
      <w:r>
        <w:rPr>
          <w:rFonts w:ascii="Cambria" w:hAnsi="Cambria"/>
          <w:i/>
          <w:color w:val="505050"/>
          <w:sz w:val="17"/>
        </w:rPr>
        <w:t>Figure 10: 2D Principal Component Projection of Latent Battle Role Clusters.</w:t>
      </w:r>
    </w:p>
    <w:p>
      <w:pPr>
        <w:pStyle w:val="Heading1"/>
        <w:keepNext/>
        <w:spacing w:before="280" w:after="120"/>
      </w:pPr>
      <w:r>
        <w:rPr>
          <w:rFonts w:ascii="Cambria" w:hAnsi="Cambria"/>
          <w:color w:val="1E2832"/>
        </w:rPr>
        <w:t>5. DISCUSSION &amp; DESIGN IMPLICATIONS</w:t>
      </w:r>
    </w:p>
    <w:p>
      <w:pPr>
        <w:spacing w:before="0" w:after="120" w:line="276" w:lineRule="auto"/>
      </w:pPr>
      <w:r>
        <w:rPr>
          <w:rFonts w:ascii="Cambria" w:hAnsi="Cambria"/>
          <w:i w:val="0"/>
          <w:sz w:val="20"/>
        </w:rPr>
        <w:t>The empirical evidence overwhelmingly confirms that Pokémon stats are not randomly distributed numbers. The strong correlation between HP and Total Stats (r = 0.6596) reveals that Hit Points serve as the primary foundational anchor for survivability and combat viability. Furthermore, the balanced correlation between Special Attack and Special Defence (r = 0.5167) illustrates intentional design symmetry: specialists designed to harness energy-based attacks are symmetrically fortified against reciprocal special assaults. The near-zero correlation between Defense and Speed (r = 0.02) further underscores a classic RPG archetype balance: rapid strikers sacrifice physical bulk, whereas heavily armored juggernauts trade away agility.</w:t>
      </w:r>
    </w:p>
    <w:p>
      <w:pPr>
        <w:pStyle w:val="Heading1"/>
        <w:keepNext/>
        <w:spacing w:before="280" w:after="120"/>
      </w:pPr>
      <w:r>
        <w:rPr>
          <w:rFonts w:ascii="Cambria" w:hAnsi="Cambria"/>
          <w:color w:val="1E2832"/>
        </w:rPr>
        <w:t>6. LIMITATIONS</w:t>
      </w:r>
    </w:p>
    <w:p>
      <w:pPr>
        <w:spacing w:before="0" w:after="120" w:line="276" w:lineRule="auto"/>
      </w:pPr>
      <w:r>
        <w:rPr>
          <w:rFonts w:ascii="Cambria" w:hAnsi="Cambria"/>
          <w:i w:val="0"/>
          <w:sz w:val="20"/>
        </w:rPr>
        <w:t>1. Static Stat Isolation: The analysis focuses solely on base stats, excluding movepool viability, type effectiveness charts, abilities, and held items.</w:t>
        <w:br/>
        <w:t>2. Competitive Usage Discrepancies: In competitive tournament play (VGC, Smogon), a Pokémon with lower BST can outperform higher-BST Pokémon due to signature abilities (e.g., Prankster, Intimidate) or priority moves.</w:t>
        <w:br/>
        <w:t>3. Variant Over-representation: Forms such as Mega Evolutions and Gigantamax skew certain species counts, though they accurately represent the peak performance states playable across various game releases.</w:t>
      </w:r>
    </w:p>
    <w:p>
      <w:pPr>
        <w:pStyle w:val="Heading1"/>
        <w:keepNext/>
        <w:spacing w:before="280" w:after="120"/>
      </w:pPr>
      <w:r>
        <w:rPr>
          <w:rFonts w:ascii="Cambria" w:hAnsi="Cambria"/>
          <w:color w:val="1E2832"/>
        </w:rPr>
        <w:t>7. CONCLUSION</w:t>
      </w:r>
    </w:p>
    <w:p>
      <w:pPr>
        <w:spacing w:before="0" w:after="120" w:line="276" w:lineRule="auto"/>
      </w:pPr>
      <w:r>
        <w:rPr>
          <w:rFonts w:ascii="Cambria" w:hAnsi="Cambria"/>
          <w:i w:val="0"/>
          <w:sz w:val="20"/>
        </w:rPr>
        <w:t>In conclusion, this empirical investigation demonstrates that elemental classification in Pokémon is far more than aesthetic lore—it is a structured, statistically predictable blueprint for combat utility. ANOVA and t-tests confirm that designated tiers reflect genuine power disparities rather than nominal labels. Elemental types function as intentional archetypes, establishing predictable relationships between species classification and strategic battle performance.</w:t>
      </w:r>
    </w:p>
    <w:p>
      <w:pPr>
        <w:pStyle w:val="Heading1"/>
        <w:keepNext/>
        <w:spacing w:before="280" w:after="120"/>
      </w:pPr>
      <w:r>
        <w:rPr>
          <w:rFonts w:ascii="Cambria" w:hAnsi="Cambria"/>
          <w:color w:val="1E2832"/>
        </w:rPr>
        <w:t>REFERENCES</w:t>
      </w:r>
    </w:p>
    <w:p>
      <w:pPr>
        <w:spacing w:after="80"/>
        <w:ind w:left="576" w:hanging="576"/>
      </w:pPr>
      <w:r>
        <w:rPr>
          <w:rFonts w:ascii="Cambria" w:hAnsi="Cambria"/>
          <w:sz w:val="18"/>
        </w:rPr>
        <w:t>Bulbapedia. (2025, September 11). Bulbapedia, the community-driven Pokémon encyclopedia. https://bulbapedia.bulbagarden.net/wiki/Main_Page</w:t>
      </w:r>
    </w:p>
    <w:p>
      <w:pPr>
        <w:spacing w:after="80"/>
        <w:ind w:left="576" w:hanging="576"/>
      </w:pPr>
      <w:r>
        <w:rPr>
          <w:rFonts w:ascii="Cambria" w:hAnsi="Cambria"/>
          <w:sz w:val="18"/>
        </w:rPr>
        <w:t>Kaggle. (2017). The Complete Pokemon Dataset (Generations I–VII). https://www.kaggle.com/datasets/rounakbanik/pokemon</w:t>
      </w:r>
    </w:p>
    <w:p>
      <w:pPr>
        <w:spacing w:after="80"/>
        <w:ind w:left="576" w:hanging="576"/>
      </w:pPr>
      <w:r>
        <w:rPr>
          <w:rFonts w:ascii="Cambria" w:hAnsi="Cambria"/>
          <w:sz w:val="18"/>
        </w:rPr>
        <w:t>Moore, J. (2023). Complete Pokemon Dataset (Gen I–IX). Kaggle Datasets. https://www.kaggle.com/datasets/mariotormo/complete-pokemon-dataset-gen-i-ix</w:t>
      </w:r>
    </w:p>
    <w:p>
      <w:pPr>
        <w:spacing w:after="80"/>
        <w:ind w:left="576" w:hanging="576"/>
      </w:pPr>
      <w:r>
        <w:rPr>
          <w:rFonts w:ascii="Cambria" w:hAnsi="Cambria"/>
          <w:sz w:val="18"/>
        </w:rPr>
        <w:t>Pokémon Database. (n.d.). Pokémon Pokédex: List of Pokémon with stats. https://pokemondb.net/pokedex/all</w:t>
      </w:r>
    </w:p>
    <w:p>
      <w:pPr>
        <w:spacing w:after="80"/>
        <w:ind w:left="576" w:hanging="576"/>
      </w:pPr>
      <w:r>
        <w:rPr>
          <w:rFonts w:ascii="Cambria" w:hAnsi="Cambria"/>
          <w:sz w:val="18"/>
        </w:rPr>
        <w:t>PokéBase. (2013). What does sp.attack and sp.defense mean? https://pokemondb.net/pokebase/110914/what-does-sp-attack-and-sp-defense-mean</w:t>
      </w:r>
    </w:p>
    <w:p>
      <w:pPr>
        <w:spacing w:after="80"/>
        <w:ind w:left="576" w:hanging="576"/>
      </w:pPr>
      <w:r>
        <w:rPr>
          <w:rFonts w:ascii="Cambria" w:hAnsi="Cambria"/>
          <w:sz w:val="18"/>
        </w:rPr>
        <w:t>Smogon University. (2024). Competitive Pokémon Battling Tiers and Role Definitions. https://www.smogon.com/dex/sv/pokemon/</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