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Times New Roman" w:cs="Times New Roman" w:eastAsia="Times New Roman" w:hAnsi="Times New Roman"/>
          <w:b/>
          <w:bCs/>
          <w:color w:val="1F3864"/>
          <w:sz w:val="32"/>
          <w:szCs w:val="32"/>
        </w:rPr>
        <w:t xml:space="preserve">Comparative Analysis of Deep Learning Architectures for Plant Disease Classification:</w:t>
      </w:r>
    </w:p>
    <w:p>
      <w:pPr>
        <w:spacing w:after="160" w:before="0"/>
        <w:jc w:val="center"/>
      </w:pPr>
      <w:r>
        <w:rPr>
          <w:rFonts w:ascii="Times New Roman" w:cs="Times New Roman" w:eastAsia="Times New Roman" w:hAnsi="Times New Roman"/>
          <w:b/>
          <w:bCs/>
          <w:color w:val="1F3864"/>
          <w:sz w:val="32"/>
          <w:szCs w:val="32"/>
        </w:rPr>
        <w:t xml:space="preserve">ViT-MoE, EfficientNetV2, ConvNeXt, and YOLOv11 Trained from Scratch</w:t>
      </w:r>
    </w:p>
    <w:p>
      <w:pPr>
        <w:spacing w:after="80" w:before="0"/>
        <w:jc w:val="center"/>
      </w:pPr>
      <w:r>
        <w:rPr>
          <w:rFonts w:ascii="Times New Roman" w:cs="Times New Roman" w:eastAsia="Times New Roman" w:hAnsi="Times New Roman"/>
          <w:b/>
          <w:bCs/>
          <w:sz w:val="24"/>
          <w:szCs w:val="24"/>
        </w:rPr>
        <w:t xml:space="preserve">Nishant Goel</w:t>
      </w:r>
    </w:p>
    <w:p>
      <w:pPr>
        <w:spacing w:after="80" w:before="0"/>
        <w:jc w:val="center"/>
      </w:pPr>
      <w:r>
        <w:rPr>
          <w:rFonts w:ascii="Times New Roman" w:cs="Times New Roman" w:eastAsia="Times New Roman" w:hAnsi="Times New Roman"/>
          <w:i/>
          <w:iCs/>
          <w:color w:val="555555"/>
          <w:sz w:val="22"/>
          <w:szCs w:val="22"/>
        </w:rPr>
        <w:t xml:space="preserve">notnishantgoel@gmail.com</w:t>
      </w:r>
    </w:p>
    <w:p>
      <w:pPr>
        <w:spacing w:after="240" w:before="0"/>
        <w:jc w:val="center"/>
      </w:pPr>
      <w:r>
        <w:rPr>
          <w:rFonts w:ascii="Times New Roman" w:cs="Times New Roman" w:eastAsia="Times New Roman" w:hAnsi="Times New Roman"/>
          <w:color w:val="777777"/>
          <w:sz w:val="22"/>
          <w:szCs w:val="22"/>
        </w:rPr>
        <w:t xml:space="preserve">April 2026</w:t>
      </w:r>
    </w:p>
    <w:p>
      <w:pPr>
        <w:pBdr>
          <w:bottom w:val="single" w:color="1F3864" w:sz="8" w:space="4"/>
        </w:pBdr>
        <w:spacing w:after="240" w:before="0"/>
      </w:pPr>
    </w:p>
    <w:p>
      <w:pPr>
        <w:pStyle w:val="Heading1"/>
        <w:spacing w:after="120" w:before="200"/>
      </w:pPr>
      <w:r>
        <w:rPr>
          <w:rFonts w:ascii="Times New Roman" w:cs="Times New Roman" w:eastAsia="Times New Roman" w:hAnsi="Times New Roman"/>
          <w:b/>
          <w:bCs/>
          <w:caps w:val="false"/>
          <w:sz w:val="24"/>
          <w:szCs w:val="24"/>
        </w:rPr>
        <w:t xml:space="preserve">ABSTRACT</w:t>
      </w:r>
    </w:p>
    <w:p>
      <w:pPr>
        <w:spacing w:after="120" w:before="0" w:line="276"/>
        <w:jc w:val="both"/>
      </w:pPr>
      <w:r>
        <w:rPr>
          <w:rFonts w:ascii="Times New Roman" w:cs="Times New Roman" w:eastAsia="Times New Roman" w:hAnsi="Times New Roman"/>
          <w:sz w:val="24"/>
          <w:szCs w:val="24"/>
        </w:rPr>
        <w:t xml:space="preserve">Plant disease diagnosis remains a critical bottleneck in modern precision agriculture. This paper presents a systematic benchmark of four contemporary deep learning architectures for a four-class plant disease classification task: a custom Vision Transformer augmented with a Mixture-of-Experts feed-forward layer (ViT-MoE), EfficientNetV2-S, ConvNeXt-Tiny, and YOLOv11. A key experimental constraint is that all models are trained entirely from scratch on a balanced dataset of 4,000 leaf images — no ImageNet pre-training is used — providing a rigorous test of each architecture's intrinsic inductive biases. Under a standard 10-epoch protocol, EfficientNetV2-S achieved the highest validation accuracy of 93.1%, while ConvNeXt-Tiny reached 89.5% and YOLOv11 reached 86.5%. Under an extended 30-epoch comparable training protocol with cosine scheduling and advanced augmentation, EfficientNetV2-S reached 94.9%. Our proposed ViT-MoE, incorporating learnable positional embeddings, top-2 expert routing with load-balancing auxiliary loss, stochastic depth regularisation (DropPath), CutMix/MixUp augmentation, and Exponential Moving Average (EMA) weight smoothing, achieved 91.6% validation accuracy in its final iteration (v3.1) — surpassing ConvNeXt-Tiny and narrowing the gap with EfficientNetV2-S to just 3.3 percentage points. Iterative refinement from v3 (88.4%) to v3.1 (91.6%) through hyperparameter tuning alone yielded a 3.2-point improvement, demonstrating that transformer-based classifiers can approach CNN performance in low-data agricultural regimes given careful engineering.</w:t>
      </w:r>
    </w:p>
    <w:p>
      <w:pPr>
        <w:spacing w:after="80" w:before="80"/>
      </w:pPr>
      <w:r>
        <w:rPr>
          <w:rFonts w:ascii="Times New Roman" w:cs="Times New Roman" w:eastAsia="Times New Roman" w:hAnsi="Times New Roman"/>
          <w:b/>
          <w:bCs/>
          <w:i/>
          <w:iCs/>
          <w:sz w:val="22"/>
          <w:szCs w:val="22"/>
        </w:rPr>
        <w:t xml:space="preserve">Keywords: </w:t>
      </w:r>
      <w:r>
        <w:rPr>
          <w:rFonts w:ascii="Times New Roman" w:cs="Times New Roman" w:eastAsia="Times New Roman" w:hAnsi="Times New Roman"/>
          <w:i/>
          <w:iCs/>
          <w:sz w:val="22"/>
          <w:szCs w:val="22"/>
        </w:rPr>
        <w:t xml:space="preserve">plant disease classification, Vision Transformer, Mixture of Experts, EfficientNetV2, ConvNeXt, YOLOv11, from-scratch training, precision agriculture</w:t>
      </w:r>
    </w:p>
    <w:p>
      <w:pPr>
        <w:spacing w:after="60" w:before="60"/>
      </w:pPr>
      <w:r>
        <w:t xml:space="preserve"/>
      </w:r>
    </w:p>
    <w:p>
      <w:pPr>
        <w:pStyle w:val="Heading1"/>
        <w:spacing w:after="120" w:before="200"/>
      </w:pPr>
      <w:r>
        <w:rPr>
          <w:rFonts w:ascii="Times New Roman" w:cs="Times New Roman" w:eastAsia="Times New Roman" w:hAnsi="Times New Roman"/>
          <w:b/>
          <w:bCs/>
          <w:caps w:val="false"/>
          <w:sz w:val="24"/>
          <w:szCs w:val="24"/>
        </w:rPr>
        <w:t xml:space="preserve">1. INTRODUCTION</w:t>
      </w:r>
    </w:p>
    <w:p>
      <w:pPr>
        <w:spacing w:after="120" w:before="0" w:line="276"/>
        <w:ind w:firstLine="720"/>
        <w:jc w:val="both"/>
      </w:pPr>
      <w:r>
        <w:rPr>
          <w:rFonts w:ascii="Times New Roman" w:cs="Times New Roman" w:eastAsia="Times New Roman" w:hAnsi="Times New Roman"/>
          <w:sz w:val="24"/>
          <w:szCs w:val="24"/>
        </w:rPr>
        <w:t xml:space="preserve">Fungal blights, viral infections, and arthropod infestations collectively account for up to 40% of annual crop losses worldwide [1]. Timely, accurate diagnosis is therefore of enormous economic and food-security importance. Classical methods — agronomist field inspection and laboratory analysis — are expensive, time-consuming, and difficult to scale. Computer-vision-based disease detection from leaf imagery offers an attractive alternative, capable of delivering real-time diagnoses at scale via smartphones or drone sensors.</w:t>
      </w:r>
    </w:p>
    <w:p>
      <w:pPr>
        <w:spacing w:after="120" w:before="0" w:line="276"/>
        <w:ind w:firstLine="720"/>
        <w:jc w:val="both"/>
      </w:pPr>
      <w:r>
        <w:rPr>
          <w:rFonts w:ascii="Times New Roman" w:cs="Times New Roman" w:eastAsia="Times New Roman" w:hAnsi="Times New Roman"/>
          <w:sz w:val="24"/>
          <w:szCs w:val="24"/>
        </w:rPr>
        <w:t xml:space="preserve">Deep convolutional neural networks (CNNs) have been the dominant paradigm since AlexNet [2], with models such as ResNet [3], EfficientNet [4], and ConvNeXt [5] establishing successive state-of-the-art benchmarks on ImageNet. More recently, the Vision Transformer (ViT) [6] and its variants have demonstrated that pure attention-based architectures can match or exceed CNNs given sufficient data or pre-training. The Mixture-of-Experts (MoE) paradigm [7] further extends transformers by replacing the dense feed-forward sub-layer with a sparse ensemble of expert networks, dynamically routing each token to only the most relevant experts, improving capacity without a proportional increase in compute.</w:t>
      </w:r>
    </w:p>
    <w:p>
      <w:pPr>
        <w:spacing w:after="120" w:before="0" w:line="276"/>
        <w:ind w:firstLine="720"/>
        <w:jc w:val="both"/>
      </w:pPr>
      <w:r>
        <w:rPr>
          <w:rFonts w:ascii="Times New Roman" w:cs="Times New Roman" w:eastAsia="Times New Roman" w:hAnsi="Times New Roman"/>
          <w:sz w:val="24"/>
          <w:szCs w:val="24"/>
        </w:rPr>
        <w:t xml:space="preserve">The vast majority of published plant-disease classification studies exploit ImageNet-pretrained feature extractors through fine-tuning [8]. While transfer learning dramatically reduces training time and data requirements, it obscures a fundamental question: which architecture is intrinsically best suited to this domain? Answering this question has practical importance for edge-deployment scenarios where pretrained checkpoints may be unavailable or prohibited, and for emerging agricultural diseases not represented in any existing training corpus.</w:t>
      </w:r>
    </w:p>
    <w:p>
      <w:pPr>
        <w:spacing w:after="120" w:before="0" w:line="276"/>
        <w:ind w:firstLine="720"/>
        <w:jc w:val="both"/>
      </w:pPr>
      <w:r>
        <w:rPr>
          <w:rFonts w:ascii="Times New Roman" w:cs="Times New Roman" w:eastAsia="Times New Roman" w:hAnsi="Times New Roman"/>
          <w:sz w:val="24"/>
          <w:szCs w:val="24"/>
        </w:rPr>
        <w:t xml:space="preserve">This paper makes the following contributions: (i) We propose ViT-MoE, a lightweight Vision Transformer with a four-expert MoE feed-forward layer, trained entirely from scratch on a small plant-disease dataset, achieving 91.6% validation accuracy in its final iteration (v3.1); (ii) We benchmark ViT-MoE against three strong contemporary baselines (EfficientNetV2-S, ConvNeXt-Tiny, YOLOv11) under both standard (10-epoch) and comparable (30-epoch) from-scratch conditions; (iii) We provide a detailed ablation of the design choices incorporated across ViT-MoE versions v2, v3, and v3.1, isolating the impact of positional embeddings, load-balancing, stochastic depth, advanced augmentation, and hyperparameter tuning; (iv) We publicly release all training scripts, metrics CSVs, and model checkpoints.</w:t>
      </w:r>
    </w:p>
    <w:p>
      <w:pPr>
        <w:spacing w:after="60" w:before="60"/>
      </w:pPr>
      <w:r>
        <w:t xml:space="preserve"/>
      </w:r>
    </w:p>
    <w:p>
      <w:pPr>
        <w:pStyle w:val="Heading1"/>
        <w:spacing w:after="120" w:before="200"/>
      </w:pPr>
      <w:r>
        <w:rPr>
          <w:rFonts w:ascii="Times New Roman" w:cs="Times New Roman" w:eastAsia="Times New Roman" w:hAnsi="Times New Roman"/>
          <w:b/>
          <w:bCs/>
          <w:caps w:val="false"/>
          <w:sz w:val="24"/>
          <w:szCs w:val="24"/>
        </w:rPr>
        <w:t xml:space="preserve">2. RELATED WORK</w:t>
      </w:r>
    </w:p>
    <w:p>
      <w:pPr>
        <w:pStyle w:val="Heading2"/>
        <w:spacing w:after="80" w:before="160"/>
      </w:pPr>
      <w:r>
        <w:rPr>
          <w:rFonts w:ascii="Times New Roman" w:cs="Times New Roman" w:eastAsia="Times New Roman" w:hAnsi="Times New Roman"/>
          <w:b/>
          <w:bCs/>
          <w:i/>
          <w:iCs/>
          <w:sz w:val="24"/>
          <w:szCs w:val="24"/>
        </w:rPr>
        <w:t xml:space="preserve">2.1 CNN-based Plant Disease Detection</w:t>
      </w:r>
    </w:p>
    <w:p>
      <w:pPr>
        <w:spacing w:after="120" w:before="0" w:line="276"/>
        <w:ind w:firstLine="720"/>
        <w:jc w:val="both"/>
      </w:pPr>
      <w:r>
        <w:rPr>
          <w:rFonts w:ascii="Times New Roman" w:cs="Times New Roman" w:eastAsia="Times New Roman" w:hAnsi="Times New Roman"/>
          <w:sz w:val="24"/>
          <w:szCs w:val="24"/>
        </w:rPr>
        <w:t xml:space="preserve">Mohanty et al. [9] provided the seminal large-scale study, fine-tuning AlexNet and GoogLeNet on the PlantVillage dataset (54,306 images, 26 diseases) and reporting up to 99.35% accuracy. Subsequent work has applied ResNet [10], DenseNet [11], MobileNet [12], and EfficientNet [13] variants in similar transfer-learning settings. A recurring finding is that accuracy drops substantially — often to below 85% — when models are evaluated on real-field images rather than the controlled PlantVillage photographs. ConvNeXt [5], a modern pure-CNN architecture modernised with transformer design principles (depth-wise separable convolutions, layer normalisation, GELU), has recently been shown to match ViT performance at smaller scale with greater data efficiency.</w:t>
      </w:r>
    </w:p>
    <w:p>
      <w:pPr>
        <w:pStyle w:val="Heading2"/>
        <w:spacing w:after="80" w:before="160"/>
      </w:pPr>
      <w:r>
        <w:rPr>
          <w:rFonts w:ascii="Times New Roman" w:cs="Times New Roman" w:eastAsia="Times New Roman" w:hAnsi="Times New Roman"/>
          <w:b/>
          <w:bCs/>
          <w:i/>
          <w:iCs/>
          <w:sz w:val="24"/>
          <w:szCs w:val="24"/>
        </w:rPr>
        <w:t xml:space="preserve">2.2 Transformers for Visual Recognition</w:t>
      </w:r>
    </w:p>
    <w:p>
      <w:pPr>
        <w:spacing w:after="120" w:before="0" w:line="276"/>
        <w:ind w:firstLine="720"/>
        <w:jc w:val="both"/>
      </w:pPr>
      <w:r>
        <w:rPr>
          <w:rFonts w:ascii="Times New Roman" w:cs="Times New Roman" w:eastAsia="Times New Roman" w:hAnsi="Times New Roman"/>
          <w:sz w:val="24"/>
          <w:szCs w:val="24"/>
        </w:rPr>
        <w:t xml:space="preserve">ViT [6] demonstrated that a pure multi-head self-attention architecture, applied to non-overlapping 16×16 image patches, can exceed CNNs on ImageNet when pre-trained on sufficiently large corpora (JFT-300M). DeiT [14] subsequently showed that ViTs can be trained competitively on ImageNet-1k alone through knowledge distillation and stronger augmentation (RandAugment, CutMix, MixUp). Swin Transformer [15] introduced hierarchical windowed attention, greatly improving efficiency for dense prediction tasks. Application of ViT to agricultural disease detection remains sparse in the literature [16]; existing studies universally use pre-trained weights.</w:t>
      </w:r>
    </w:p>
    <w:p>
      <w:pPr>
        <w:pStyle w:val="Heading2"/>
        <w:spacing w:after="80" w:before="160"/>
      </w:pPr>
      <w:r>
        <w:rPr>
          <w:rFonts w:ascii="Times New Roman" w:cs="Times New Roman" w:eastAsia="Times New Roman" w:hAnsi="Times New Roman"/>
          <w:b/>
          <w:bCs/>
          <w:i/>
          <w:iCs/>
          <w:sz w:val="24"/>
          <w:szCs w:val="24"/>
        </w:rPr>
        <w:t xml:space="preserve">2.3 Mixture of Experts</w:t>
      </w:r>
    </w:p>
    <w:p>
      <w:pPr>
        <w:spacing w:after="120" w:before="0" w:line="276"/>
        <w:ind w:firstLine="720"/>
        <w:jc w:val="both"/>
      </w:pPr>
      <w:r>
        <w:rPr>
          <w:rFonts w:ascii="Times New Roman" w:cs="Times New Roman" w:eastAsia="Times New Roman" w:hAnsi="Times New Roman"/>
          <w:sz w:val="24"/>
          <w:szCs w:val="24"/>
        </w:rPr>
        <w:t xml:space="preserve">Shazeer et al. [7] introduced the Sparsely-Gated MoE layer for natural language models, routing each token to a learned subset of feed-forward experts. Switch Transformer [17] and GLaM [18] scaled this approach to hundreds of billions of parameters. In vision, MoE layers have been integrated into ViT architectures [19] to increase model capacity without a proportional compute increase. Load-balancing auxiliary losses are critical for preventing expert collapse — the phenomenon whereby all tokens are routed to a single expert, rendering the MoE effectively equivalent to a standard FFN. Our ViT-MoE v3 directly addresses this with an explicit load-balancing term in the training objective.</w:t>
      </w:r>
    </w:p>
    <w:p>
      <w:pPr>
        <w:spacing w:after="60" w:before="60"/>
      </w:pPr>
      <w:r>
        <w:t xml:space="preserve"/>
      </w:r>
    </w:p>
    <w:p>
      <w:pPr>
        <w:pStyle w:val="Heading1"/>
        <w:spacing w:after="120" w:before="200"/>
      </w:pPr>
      <w:r>
        <w:rPr>
          <w:rFonts w:ascii="Times New Roman" w:cs="Times New Roman" w:eastAsia="Times New Roman" w:hAnsi="Times New Roman"/>
          <w:b/>
          <w:bCs/>
          <w:caps w:val="false"/>
          <w:sz w:val="24"/>
          <w:szCs w:val="24"/>
        </w:rPr>
        <w:t xml:space="preserve">3. DATASET AND PREPROCESSING</w:t>
      </w:r>
    </w:p>
    <w:p>
      <w:pPr>
        <w:pStyle w:val="Heading2"/>
        <w:spacing w:after="80" w:before="160"/>
      </w:pPr>
      <w:r>
        <w:rPr>
          <w:rFonts w:ascii="Times New Roman" w:cs="Times New Roman" w:eastAsia="Times New Roman" w:hAnsi="Times New Roman"/>
          <w:b/>
          <w:bCs/>
          <w:i/>
          <w:iCs/>
          <w:sz w:val="24"/>
          <w:szCs w:val="24"/>
        </w:rPr>
        <w:t xml:space="preserve">3.1 Dataset Description</w:t>
      </w:r>
    </w:p>
    <w:p>
      <w:pPr>
        <w:spacing w:after="120" w:before="0" w:line="276"/>
        <w:ind w:firstLine="720"/>
        <w:jc w:val="both"/>
      </w:pPr>
      <w:r>
        <w:rPr>
          <w:rFonts w:ascii="Times New Roman" w:cs="Times New Roman" w:eastAsia="Times New Roman" w:hAnsi="Times New Roman"/>
          <w:sz w:val="24"/>
          <w:szCs w:val="24"/>
        </w:rPr>
        <w:t xml:space="preserve">Experiments are conducted on a curated, balanced dataset of plant leaf images spanning four disease categories: Mosaic Virus, Blight Fungus, Spider Mite, and Thrip Pest. The dataset was partitioned into training (700 images/class), validation (200 images/class), and test (100 images/class) subsets, yielding 2,800 training, 800 validation, and 400 test images — 4,000 total. The balanced design eliminates class-frequency bias from accuracy metrics, making macro-averaged F1 score equivalent to simple accuracy in this setting.</w:t>
      </w:r>
    </w:p>
    <w:p>
      <w:pPr>
        <w:spacing w:after="60" w:before="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tblGrid>
      <w:tr>
        <w:tc>
          <w:tcPr>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Split</w:t>
            </w:r>
          </w:p>
        </w:tc>
        <w:tc>
          <w:tcPr>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Images/Class</w:t>
            </w:r>
          </w:p>
        </w:tc>
        <w:tc>
          <w:tcPr>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Classes</w:t>
            </w:r>
          </w:p>
        </w:tc>
        <w:tc>
          <w:tcPr>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Total</w:t>
            </w:r>
          </w:p>
        </w:tc>
      </w:tr>
      <w:tr>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Train</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700</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2,800</w:t>
            </w:r>
          </w:p>
        </w:tc>
      </w:tr>
      <w:tr>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Validation</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200</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800</w:t>
            </w:r>
          </w:p>
        </w:tc>
      </w:tr>
      <w:tr>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Test</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100</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400</w:t>
            </w:r>
          </w:p>
        </w:tc>
      </w:tr>
      <w:tr>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Total</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1,000</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4</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4,000</w:t>
            </w:r>
          </w:p>
        </w:tc>
      </w:tr>
    </w:tbl>
    <w:p>
      <w:pPr>
        <w:spacing w:after="160" w:before="80"/>
        <w:jc w:val="center"/>
      </w:pPr>
      <w:r>
        <w:rPr>
          <w:rFonts w:ascii="Times New Roman" w:cs="Times New Roman" w:eastAsia="Times New Roman" w:hAnsi="Times New Roman"/>
          <w:i/>
          <w:iCs/>
          <w:sz w:val="20"/>
          <w:szCs w:val="20"/>
        </w:rPr>
        <w:t xml:space="preserve">Table 1. Dataset split statistics.</w:t>
      </w:r>
    </w:p>
    <w:p>
      <w:pPr>
        <w:pStyle w:val="Heading2"/>
        <w:spacing w:after="80" w:before="160"/>
      </w:pPr>
      <w:r>
        <w:rPr>
          <w:rFonts w:ascii="Times New Roman" w:cs="Times New Roman" w:eastAsia="Times New Roman" w:hAnsi="Times New Roman"/>
          <w:b/>
          <w:bCs/>
          <w:i/>
          <w:iCs/>
          <w:sz w:val="24"/>
          <w:szCs w:val="24"/>
        </w:rPr>
        <w:t xml:space="preserve">3.2 Preprocessing and Augmentation</w:t>
      </w:r>
    </w:p>
    <w:p>
      <w:pPr>
        <w:spacing w:after="120" w:before="0" w:line="276"/>
        <w:ind w:firstLine="720"/>
        <w:jc w:val="both"/>
      </w:pPr>
      <w:r>
        <w:rPr>
          <w:rFonts w:ascii="Times New Roman" w:cs="Times New Roman" w:eastAsia="Times New Roman" w:hAnsi="Times New Roman"/>
          <w:sz w:val="24"/>
          <w:szCs w:val="24"/>
        </w:rPr>
        <w:t xml:space="preserve">All images are resized to 224 × 224 pixels and normalised using ImageNet channel statistics (mean [0.485, 0.456, 0.406], std [0.229, 0.224, 0.225]). Training augmentation policies differ across models, reflecting the distinct regularisation requirements of CNNs and transformers:</w:t>
      </w:r>
    </w:p>
    <w:p>
      <w:pPr>
        <w:spacing w:after="120" w:before="0" w:line="276"/>
        <w:ind w:firstLine="720"/>
        <w:jc w:val="both"/>
      </w:pPr>
      <w:r>
        <w:rPr>
          <w:rFonts w:ascii="Times New Roman" w:cs="Times New Roman" w:eastAsia="Times New Roman" w:hAnsi="Times New Roman"/>
          <w:sz w:val="24"/>
          <w:szCs w:val="24"/>
        </w:rPr>
        <w:t xml:space="preserve">Standard CNN augmentation (EfficientNetV2-S, ConvNeXt-Tiny, YOLOv11): Random horizontal flip, random rotation (±15°), and standard resize.</w:t>
      </w:r>
    </w:p>
    <w:p>
      <w:pPr>
        <w:spacing w:after="120" w:before="0" w:line="276"/>
        <w:ind w:firstLine="720"/>
        <w:jc w:val="both"/>
      </w:pPr>
      <w:r>
        <w:rPr>
          <w:rFonts w:ascii="Times New Roman" w:cs="Times New Roman" w:eastAsia="Times New Roman" w:hAnsi="Times New Roman"/>
          <w:sz w:val="24"/>
          <w:szCs w:val="24"/>
        </w:rPr>
        <w:t xml:space="preserve">Extended ViT augmentation (ViT-MoE v3): RandomResizedCrop (scale 0.8–1.0), random horizontal flip, random rotation (±15°), ColorJitter (brightness/contrast/saturation ±0.2, hue ±0.03), CutMix (λ ~ Beta(1,1)) and MixUp (α = 0.2) applied stochastically with p = 0.25, and label smoothing ε = 0.05. The stronger augmentation policy was necessary to regularise the transformer architecture, which lacks the locality and translation-equivariance priors of CNNs.</w:t>
      </w:r>
    </w:p>
    <w:p>
      <w:pPr>
        <w:spacing w:after="60" w:before="60"/>
      </w:pPr>
      <w:r>
        <w:t xml:space="preserve"/>
      </w:r>
    </w:p>
    <w:p>
      <w:pPr>
        <w:pStyle w:val="Heading1"/>
        <w:spacing w:after="120" w:before="200"/>
      </w:pPr>
      <w:r>
        <w:rPr>
          <w:rFonts w:ascii="Times New Roman" w:cs="Times New Roman" w:eastAsia="Times New Roman" w:hAnsi="Times New Roman"/>
          <w:b/>
          <w:bCs/>
          <w:caps w:val="false"/>
          <w:sz w:val="24"/>
          <w:szCs w:val="24"/>
        </w:rPr>
        <w:t xml:space="preserve">4. MODEL ARCHITECTURES</w:t>
      </w:r>
    </w:p>
    <w:p>
      <w:pPr>
        <w:pStyle w:val="Heading2"/>
        <w:spacing w:after="80" w:before="160"/>
      </w:pPr>
      <w:r>
        <w:rPr>
          <w:rFonts w:ascii="Times New Roman" w:cs="Times New Roman" w:eastAsia="Times New Roman" w:hAnsi="Times New Roman"/>
          <w:b/>
          <w:bCs/>
          <w:i/>
          <w:iCs/>
          <w:sz w:val="24"/>
          <w:szCs w:val="24"/>
        </w:rPr>
        <w:t xml:space="preserve">4.1 EfficientNetV2-S (Baseline)</w:t>
      </w:r>
    </w:p>
    <w:p>
      <w:pPr>
        <w:spacing w:after="120" w:before="0" w:line="276"/>
        <w:ind w:firstLine="720"/>
        <w:jc w:val="both"/>
      </w:pPr>
      <w:r>
        <w:rPr>
          <w:rFonts w:ascii="Times New Roman" w:cs="Times New Roman" w:eastAsia="Times New Roman" w:hAnsi="Times New Roman"/>
          <w:sz w:val="24"/>
          <w:szCs w:val="24"/>
        </w:rPr>
        <w:t xml:space="preserve">EfficientNetV2-S [20] is a compound-scaled CNN employing Fused-MBConv blocks in early stages and standard MBConv blocks in later stages, trained using Progressive Learning with adaptive regularisation. In our setting, EfficientNetV2-S is initialised from random weights (weights=None), and the classification head (1,280→num_classes) is replaced to match the four target categories. Training used AdamW (lr = 3e-4, weight_decay = 0.01) with CrossEntropyLoss for 10 epochs, batch size 32.</w:t>
      </w:r>
    </w:p>
    <w:p>
      <w:pPr>
        <w:pStyle w:val="Heading2"/>
        <w:spacing w:after="80" w:before="160"/>
      </w:pPr>
      <w:r>
        <w:rPr>
          <w:rFonts w:ascii="Times New Roman" w:cs="Times New Roman" w:eastAsia="Times New Roman" w:hAnsi="Times New Roman"/>
          <w:b/>
          <w:bCs/>
          <w:i/>
          <w:iCs/>
          <w:sz w:val="24"/>
          <w:szCs w:val="24"/>
        </w:rPr>
        <w:t xml:space="preserve">4.2 ConvNeXt-Tiny (Baseline)</w:t>
      </w:r>
    </w:p>
    <w:p>
      <w:pPr>
        <w:spacing w:after="120" w:before="0" w:line="276"/>
        <w:ind w:firstLine="720"/>
        <w:jc w:val="both"/>
      </w:pPr>
      <w:r>
        <w:rPr>
          <w:rFonts w:ascii="Times New Roman" w:cs="Times New Roman" w:eastAsia="Times New Roman" w:hAnsi="Times New Roman"/>
          <w:sz w:val="24"/>
          <w:szCs w:val="24"/>
        </w:rPr>
        <w:t xml:space="preserve">ConvNeXt-Tiny [5] modernises the classic ResNet design with a series of architecture choices inspired by Swin Transformer: depth-wise 7×7 convolutions, inverted bottleneck blocks with expansion ratio 4, Layer Normalisation instead of Batch Normalisation, GELU activations, and fewer normalisation layers. Like EfficientNetV2-S, it is initialised from scratch with an identical training protocol: AdamW, lr = 3e-4, weight_decay = 0.01, CrossEntropyLoss, 10 epochs.</w:t>
      </w:r>
    </w:p>
    <w:p>
      <w:pPr>
        <w:pStyle w:val="Heading2"/>
        <w:spacing w:after="80" w:before="160"/>
      </w:pPr>
      <w:r>
        <w:rPr>
          <w:rFonts w:ascii="Times New Roman" w:cs="Times New Roman" w:eastAsia="Times New Roman" w:hAnsi="Times New Roman"/>
          <w:b/>
          <w:bCs/>
          <w:i/>
          <w:iCs/>
          <w:sz w:val="24"/>
          <w:szCs w:val="24"/>
        </w:rPr>
        <w:t xml:space="preserve">4.3 YOLOv11 (Baseline)</w:t>
      </w:r>
    </w:p>
    <w:p>
      <w:pPr>
        <w:spacing w:after="120" w:before="0" w:line="276"/>
        <w:ind w:firstLine="720"/>
        <w:jc w:val="both"/>
      </w:pPr>
      <w:r>
        <w:rPr>
          <w:rFonts w:ascii="Times New Roman" w:cs="Times New Roman" w:eastAsia="Times New Roman" w:hAnsi="Times New Roman"/>
          <w:sz w:val="24"/>
          <w:szCs w:val="24"/>
        </w:rPr>
        <w:t xml:space="preserve">YOLOv11 is Ultralytics' latest iteration of the YOLO family, applied here in classification mode (rather than detection). The model was trained from scratch for 10 epochs using the built-in Ultralytics trainer, which applies a cosine learning rate schedule with warmup and SGD optimisation with momentum.</w:t>
      </w:r>
    </w:p>
    <w:p>
      <w:pPr>
        <w:pStyle w:val="Heading2"/>
        <w:spacing w:after="80" w:before="160"/>
      </w:pPr>
      <w:r>
        <w:rPr>
          <w:rFonts w:ascii="Times New Roman" w:cs="Times New Roman" w:eastAsia="Times New Roman" w:hAnsi="Times New Roman"/>
          <w:b/>
          <w:bCs/>
          <w:i/>
          <w:iCs/>
          <w:sz w:val="24"/>
          <w:szCs w:val="24"/>
        </w:rPr>
        <w:t xml:space="preserve">4.4 ViT-MoE v3 (Proposed)</w:t>
      </w:r>
    </w:p>
    <w:p>
      <w:pPr>
        <w:spacing w:after="120" w:before="0" w:line="276"/>
        <w:ind w:firstLine="720"/>
        <w:jc w:val="both"/>
      </w:pPr>
      <w:r>
        <w:rPr>
          <w:rFonts w:ascii="Times New Roman" w:cs="Times New Roman" w:eastAsia="Times New Roman" w:hAnsi="Times New Roman"/>
          <w:sz w:val="24"/>
          <w:szCs w:val="24"/>
        </w:rPr>
        <w:t xml:space="preserve">ViT-MoE v3 is a lightweight, from-scratch Vision Transformer in which the dense feed-forward sub-layer of each Transformer block is replaced by a sparse Mixture-of-Experts (MoE) layer. The architecture is summarised below.</w:t>
      </w:r>
    </w:p>
    <w:p>
      <w:pPr>
        <w:spacing w:after="120" w:before="0" w:line="276"/>
        <w:ind w:firstLine="720"/>
        <w:jc w:val="both"/>
      </w:pPr>
      <w:r>
        <w:rPr>
          <w:rFonts w:ascii="Times New Roman" w:cs="Times New Roman" w:eastAsia="Times New Roman" w:hAnsi="Times New Roman"/>
          <w:sz w:val="24"/>
          <w:szCs w:val="24"/>
        </w:rPr>
        <w:t xml:space="preserve">Patch Embedding: The 224 × 224 × 3 input is divided into non-overlapping 16 × 16 patches using a single Conv2d (stride = patch_size), yielding a sequence of 196 patch tokens each projected to d = 256 dimensions.</w:t>
      </w:r>
    </w:p>
    <w:p>
      <w:pPr>
        <w:spacing w:after="120" w:before="0" w:line="276"/>
        <w:ind w:firstLine="720"/>
        <w:jc w:val="both"/>
      </w:pPr>
      <w:r>
        <w:rPr>
          <w:rFonts w:ascii="Times New Roman" w:cs="Times New Roman" w:eastAsia="Times New Roman" w:hAnsi="Times New Roman"/>
          <w:sz w:val="24"/>
          <w:szCs w:val="24"/>
        </w:rPr>
        <w:t xml:space="preserve">Positional Encoding: A learnable CLS token and learnable positional embeddings (shape 1 × 197 × 256) are added to the patch sequence. This is a critical improvement over ViT-MoE v2, which omitted positional embeddings entirely, preventing the model from encoding spatial structure.</w:t>
      </w:r>
    </w:p>
    <w:p>
      <w:pPr>
        <w:spacing w:after="120" w:before="0" w:line="276"/>
        <w:ind w:firstLine="720"/>
        <w:jc w:val="both"/>
      </w:pPr>
      <w:r>
        <w:rPr>
          <w:rFonts w:ascii="Times New Roman" w:cs="Times New Roman" w:eastAsia="Times New Roman" w:hAnsi="Times New Roman"/>
          <w:sz w:val="24"/>
          <w:szCs w:val="24"/>
        </w:rPr>
        <w:t xml:space="preserve">Transformer Blocks: Four stacked Transformer blocks each comprise (i) a Pre-Norm multi-head self-attention layer (8 heads, embed_dim = 256) with attention dropout and projection dropout (p = 0.05), and (ii) a Pre-Norm MoE feed-forward layer, both connected via residual connections with DropPath (stochastic depth, linearly increasing from 0 to 0.1 across blocks).</w:t>
      </w:r>
    </w:p>
    <w:p>
      <w:pPr>
        <w:spacing w:after="120" w:before="0" w:line="276"/>
        <w:ind w:firstLine="720"/>
        <w:jc w:val="both"/>
      </w:pPr>
      <w:r>
        <w:rPr>
          <w:rFonts w:ascii="Times New Roman" w:cs="Times New Roman" w:eastAsia="Times New Roman" w:hAnsi="Times New Roman"/>
          <w:sz w:val="24"/>
          <w:szCs w:val="24"/>
        </w:rPr>
        <w:t xml:space="preserve">MoE Layer: Each MoE layer contains four expert feed-forward networks (FFN: 256 → 1024 → 256, GELU, internal dropout p = 0.1). A learned router projects each token to a score over the four experts, and top-2 routing is applied: the token is processed by the two highest-scoring experts, with their outputs weighted by renormalised routing probabilities. During training, Gaussian noise (σ = 0.1) is added to routing logits to encourage exploration. An auxiliary load-balancing loss (weight λ = 0.01) penalises non-uniform token allocation across experts, preventing expert collapse.</w:t>
      </w:r>
    </w:p>
    <w:p>
      <w:pPr>
        <w:spacing w:after="120" w:before="0" w:line="276"/>
        <w:ind w:firstLine="720"/>
        <w:jc w:val="both"/>
      </w:pPr>
      <w:r>
        <w:rPr>
          <w:rFonts w:ascii="Times New Roman" w:cs="Times New Roman" w:eastAsia="Times New Roman" w:hAnsi="Times New Roman"/>
          <w:sz w:val="24"/>
          <w:szCs w:val="24"/>
        </w:rPr>
        <w:t xml:space="preserve">Classification Head: The CLS token at the final block output is passed through a LayerNorm and a two-layer MLP (256 → 256 → num_classes, GELU) to produce class logits.</w:t>
      </w:r>
    </w:p>
    <w:p>
      <w:pPr>
        <w:spacing w:after="120" w:before="0" w:line="276"/>
        <w:ind w:firstLine="720"/>
        <w:jc w:val="both"/>
      </w:pPr>
      <w:r>
        <w:rPr>
          <w:rFonts w:ascii="Times New Roman" w:cs="Times New Roman" w:eastAsia="Times New Roman" w:hAnsi="Times New Roman"/>
          <w:sz w:val="24"/>
          <w:szCs w:val="24"/>
        </w:rPr>
        <w:t xml:space="preserve">Training Protocol: AdamW (lr = 3e-4, β = (0.9, 0.999), weight_decay = 0.01) with a cosine annealing schedule (3-epoch linear warmup, min lr = 1e-6) for 30 epochs. Gradient clipping (max norm = 1.0) and label smoothing (ε = 0.05) are applied. Exponential Moving Average (EMA, decay = 0.998) of model weights is maintained and evaluated separately.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Model</w:t>
            </w:r>
          </w:p>
        </w:tc>
        <w:tc>
          <w:tcPr>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Params (M)</w:t>
            </w:r>
          </w:p>
        </w:tc>
        <w:tc>
          <w:tcPr>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Epochs</w:t>
            </w:r>
          </w:p>
        </w:tc>
        <w:tc>
          <w:tcPr>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Optimizer</w:t>
            </w:r>
          </w:p>
        </w:tc>
        <w:tc>
          <w:tcPr>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Key Features</w:t>
            </w:r>
          </w:p>
        </w:tc>
      </w:tr>
      <w:tr>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EfficientNetV2-S</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~21</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10</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AdamW</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Fused-MBConv, compound scale</w:t>
            </w:r>
          </w:p>
        </w:tc>
      </w:tr>
      <w:tr>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ConvNeXt-Tiny</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~28</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10</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AdamW</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Depth-wise 7×7, LayerNorm, GELU</w:t>
            </w:r>
          </w:p>
        </w:tc>
      </w:tr>
      <w:tr>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YOLOv11</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10</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SGD</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Cosine LR, YOLO classify head</w:t>
            </w:r>
          </w:p>
        </w:tc>
      </w:tr>
      <w:tr>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ViT-MoE v3 (ours)</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~5</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30</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AdamW</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MoE, DropPath, EMA, CutMix</w:t>
            </w:r>
          </w:p>
        </w:tc>
      </w:tr>
    </w:tbl>
    <w:p>
      <w:pPr>
        <w:spacing w:after="160" w:before="80"/>
        <w:jc w:val="center"/>
      </w:pPr>
      <w:r>
        <w:rPr>
          <w:rFonts w:ascii="Times New Roman" w:cs="Times New Roman" w:eastAsia="Times New Roman" w:hAnsi="Times New Roman"/>
          <w:i/>
          <w:iCs/>
          <w:sz w:val="20"/>
          <w:szCs w:val="20"/>
        </w:rPr>
        <w:t xml:space="preserve">Table 2. Architecture summary. Parameter counts are approximate.</w:t>
      </w:r>
    </w:p>
    <w:p>
      <w:pPr>
        <w:spacing w:after="60" w:before="60"/>
      </w:pPr>
      <w:r>
        <w:t xml:space="preserve"/>
      </w:r>
    </w:p>
    <w:p>
      <w:pPr>
        <w:pStyle w:val="Heading1"/>
        <w:spacing w:after="120" w:before="200"/>
      </w:pPr>
      <w:r>
        <w:rPr>
          <w:rFonts w:ascii="Times New Roman" w:cs="Times New Roman" w:eastAsia="Times New Roman" w:hAnsi="Times New Roman"/>
          <w:b/>
          <w:bCs/>
          <w:caps w:val="false"/>
          <w:sz w:val="24"/>
          <w:szCs w:val="24"/>
        </w:rPr>
        <w:t xml:space="preserve">5. EXPERIMENTS AND RESULTS</w:t>
      </w:r>
    </w:p>
    <w:p>
      <w:pPr>
        <w:pStyle w:val="Heading2"/>
        <w:spacing w:after="80" w:before="160"/>
      </w:pPr>
      <w:r>
        <w:rPr>
          <w:rFonts w:ascii="Times New Roman" w:cs="Times New Roman" w:eastAsia="Times New Roman" w:hAnsi="Times New Roman"/>
          <w:b/>
          <w:bCs/>
          <w:i/>
          <w:iCs/>
          <w:sz w:val="24"/>
          <w:szCs w:val="24"/>
        </w:rPr>
        <w:t xml:space="preserve">5.1 Implementation Details</w:t>
      </w:r>
    </w:p>
    <w:p>
      <w:pPr>
        <w:spacing w:after="120" w:before="0" w:line="276"/>
        <w:ind w:firstLine="720"/>
        <w:jc w:val="both"/>
      </w:pPr>
      <w:r>
        <w:rPr>
          <w:rFonts w:ascii="Times New Roman" w:cs="Times New Roman" w:eastAsia="Times New Roman" w:hAnsi="Times New Roman"/>
          <w:sz w:val="24"/>
          <w:szCs w:val="24"/>
        </w:rPr>
        <w:t xml:space="preserve">All models are implemented in PyTorch 2.x. Training is performed on an Apple Silicon (MPS) device. The batch size is 32 throughout. Validation accuracy (top-1), macro-averaged precision, recall, and F1 are recorded after every epoch. For ViT-MoE v3, both the standard model and the EMA shadow model are evaluated. The best-performing checkpoint (highest validation accuracy) is saved for each model.</w:t>
      </w:r>
    </w:p>
    <w:p>
      <w:pPr>
        <w:pStyle w:val="Heading2"/>
        <w:spacing w:after="80" w:before="160"/>
      </w:pPr>
      <w:r>
        <w:rPr>
          <w:rFonts w:ascii="Times New Roman" w:cs="Times New Roman" w:eastAsia="Times New Roman" w:hAnsi="Times New Roman"/>
          <w:b/>
          <w:bCs/>
          <w:i/>
          <w:iCs/>
          <w:sz w:val="24"/>
          <w:szCs w:val="24"/>
        </w:rPr>
        <w:t xml:space="preserve">5.2 Main Results</w:t>
      </w:r>
    </w:p>
    <w:p>
      <w:pPr>
        <w:spacing w:after="120" w:before="0" w:line="276"/>
        <w:ind w:firstLine="720"/>
        <w:jc w:val="both"/>
      </w:pPr>
      <w:r>
        <w:rPr>
          <w:rFonts w:ascii="Times New Roman" w:cs="Times New Roman" w:eastAsia="Times New Roman" w:hAnsi="Times New Roman"/>
          <w:sz w:val="24"/>
          <w:szCs w:val="24"/>
        </w:rPr>
        <w:t xml:space="preserve">Table 3 reports the best validation accuracy and macro F1 achieved by each model across all training configurations. Under the standard 10-epoch protocol, EfficientNetV2-S is the strongest performer, reaching 93.1% accuracy in just 9 epochs, demonstrating the data-efficiency of convolutional inductive biases. ConvNeXt-Tiny achieves 89.5% at epoch 10. YOLOv11 reaches 86.5% at epoch 9.</w:t>
      </w:r>
    </w:p>
    <w:p>
      <w:pPr>
        <w:spacing w:after="120" w:before="0" w:line="276"/>
        <w:ind w:firstLine="720"/>
        <w:jc w:val="both"/>
      </w:pPr>
      <w:r>
        <w:rPr>
          <w:rFonts w:ascii="Times New Roman" w:cs="Times New Roman" w:eastAsia="Times New Roman" w:hAnsi="Times New Roman"/>
          <w:sz w:val="24"/>
          <w:szCs w:val="24"/>
        </w:rPr>
        <w:t xml:space="preserve">Under the extended 30-epoch comparable protocol (cosine LR, warmup, CutMix/MixUp), EfficientNetV2-S further improves to 94.9% at epoch 21. Our proposed ViT-MoE architecture shows a clear improvement trajectory across versions: ViT-MoE v3 reaches 88.4% at epoch 23, and ViT-MoE v3.1 — with refined hyperparameters (reduced weight decay from 0.05 to 0.01, shorter warmup from 5 to 3 epochs, halved label smoothing from 0.1 to 0.05) — achieves 91.6% at epoch 22. This makes ViT-MoE v3.1 the second-best overall architecture, surpassing ConvNeXt-Tiny by 2.1 percentage points and closing the gap with EfficientNetV2-S (comparable) to just 3.3 points.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Model</w:t>
            </w:r>
          </w:p>
        </w:tc>
        <w:tc>
          <w:tcPr>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Best Val Acc</w:t>
            </w:r>
          </w:p>
        </w:tc>
        <w:tc>
          <w:tcPr>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Best Val F1</w:t>
            </w:r>
          </w:p>
        </w:tc>
        <w:tc>
          <w:tcPr>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Best Epoch</w:t>
            </w:r>
          </w:p>
        </w:tc>
        <w:tc>
          <w:tcPr>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Training Epochs</w:t>
            </w:r>
          </w:p>
        </w:tc>
      </w:tr>
      <w:tr>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EfficientNetV2-S (comp.)</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94.9%</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94.8%</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21</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30</w:t>
            </w:r>
          </w:p>
        </w:tc>
      </w:tr>
      <w:tr>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EfficientNetV2-S (std.)</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93.1%</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93.1%</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10</w:t>
            </w:r>
          </w:p>
        </w:tc>
      </w:tr>
      <w:tr>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ViT-MoE v3.1 (ours)</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91.6%</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91.6%</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22</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30</w:t>
            </w:r>
          </w:p>
        </w:tc>
      </w:tr>
      <w:tr>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ConvNeXt-Tiny</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89.5%</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89.6%</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10</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10/20</w:t>
            </w:r>
          </w:p>
        </w:tc>
      </w:tr>
      <w:tr>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ViT-MoE v3 (ours)</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88.4%</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88.2%</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23</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30</w:t>
            </w:r>
          </w:p>
        </w:tc>
      </w:tr>
      <w:tr>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YOLOv11</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86.5%</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10</w:t>
            </w:r>
          </w:p>
        </w:tc>
      </w:tr>
    </w:tbl>
    <w:p>
      <w:pPr>
        <w:spacing w:after="160" w:before="80"/>
        <w:jc w:val="center"/>
      </w:pPr>
      <w:r>
        <w:rPr>
          <w:rFonts w:ascii="Times New Roman" w:cs="Times New Roman" w:eastAsia="Times New Roman" w:hAnsi="Times New Roman"/>
          <w:i/>
          <w:iCs/>
          <w:sz w:val="20"/>
          <w:szCs w:val="20"/>
        </w:rPr>
        <w:t xml:space="preserve">Table 3. Best validation performance across all models and configurations. All models trained from scratch. (comp.) = comparable 30-epoch protocol; (std.) = standard 10-epoch protocol.</w:t>
      </w:r>
    </w:p>
    <w:p>
      <w:pPr>
        <w:pStyle w:val="Heading2"/>
        <w:spacing w:after="80" w:before="160"/>
      </w:pPr>
      <w:r>
        <w:rPr>
          <w:rFonts w:ascii="Times New Roman" w:cs="Times New Roman" w:eastAsia="Times New Roman" w:hAnsi="Times New Roman"/>
          <w:b/>
          <w:bCs/>
          <w:i/>
          <w:iCs/>
          <w:sz w:val="24"/>
          <w:szCs w:val="24"/>
        </w:rPr>
        <w:t xml:space="preserve">5.3 Training Dynamics</w:t>
      </w:r>
    </w:p>
    <w:p>
      <w:pPr>
        <w:spacing w:after="120" w:before="0" w:line="276"/>
        <w:ind w:firstLine="720"/>
        <w:jc w:val="both"/>
      </w:pPr>
      <w:r>
        <w:rPr>
          <w:rFonts w:ascii="Times New Roman" w:cs="Times New Roman" w:eastAsia="Times New Roman" w:hAnsi="Times New Roman"/>
          <w:sz w:val="24"/>
          <w:szCs w:val="24"/>
        </w:rPr>
        <w:t xml:space="preserve">EfficientNetV2-S converges rapidly, achieving 82.1% validation accuracy by epoch 1 and crossing 90% by epoch 4. This fast convergence reflects the strong inductive biases of CNNs — local receptive fields, spatial weight sharing, and pooling hierarchies — which are ideally suited to the structured, locally-textured nature of leaf disease patterns.</w:t>
      </w:r>
    </w:p>
    <w:p>
      <w:pPr>
        <w:spacing w:after="120" w:before="0" w:line="276"/>
        <w:ind w:firstLine="720"/>
        <w:jc w:val="both"/>
      </w:pPr>
      <w:r>
        <w:rPr>
          <w:rFonts w:ascii="Times New Roman" w:cs="Times New Roman" w:eastAsia="Times New Roman" w:hAnsi="Times New Roman"/>
          <w:sz w:val="24"/>
          <w:szCs w:val="24"/>
        </w:rPr>
        <w:t xml:space="preserve">ConvNeXt-Tiny follows a similar trajectory, reaching 73.0% at epoch 1 and 84.5% by epoch 4, before stabilising near 89–90% in later epochs. The slight underperformance relative to EfficientNetV2-S is consistent with ConvNeXt's design being optimised for larger-scale training settings.</w:t>
      </w:r>
    </w:p>
    <w:p>
      <w:pPr>
        <w:spacing w:after="120" w:before="0" w:line="276"/>
        <w:ind w:firstLine="720"/>
        <w:jc w:val="both"/>
      </w:pPr>
      <w:r>
        <w:rPr>
          <w:rFonts w:ascii="Times New Roman" w:cs="Times New Roman" w:eastAsia="Times New Roman" w:hAnsi="Times New Roman"/>
          <w:sz w:val="24"/>
          <w:szCs w:val="24"/>
        </w:rPr>
        <w:t xml:space="preserve">ViT-MoE v3 exhibits the characteristic slow warm-up of attention-based architectures trained from scratch, reaching only 65.6% at epoch 1. Performance climbs steadily through the 30-epoch schedule, crossing 80% around epoch 7 and plateauing near 88% in the final epochs. The EMA model closely tracks the base model, diverging by at most 1–2%, suggesting that the training trajectory is relatively stable.</w:t>
      </w:r>
    </w:p>
    <w:p>
      <w:pPr>
        <w:pStyle w:val="Heading2"/>
        <w:spacing w:after="80" w:before="160"/>
      </w:pPr>
      <w:r>
        <w:rPr>
          <w:rFonts w:ascii="Times New Roman" w:cs="Times New Roman" w:eastAsia="Times New Roman" w:hAnsi="Times New Roman"/>
          <w:b/>
          <w:bCs/>
          <w:i/>
          <w:iCs/>
          <w:sz w:val="24"/>
          <w:szCs w:val="24"/>
        </w:rPr>
        <w:t xml:space="preserve">5.4 ViT-MoE v3.1: Hyperparameter Refinement</w:t>
      </w:r>
    </w:p>
    <w:p>
      <w:pPr>
        <w:spacing w:after="120" w:before="0" w:line="276"/>
        <w:ind w:firstLine="720"/>
        <w:jc w:val="both"/>
      </w:pPr>
      <w:r>
        <w:rPr>
          <w:rFonts w:ascii="Times New Roman" w:cs="Times New Roman" w:eastAsia="Times New Roman" w:hAnsi="Times New Roman"/>
          <w:sz w:val="24"/>
          <w:szCs w:val="24"/>
        </w:rPr>
        <w:t xml:space="preserve">ViT-MoE v3.1 uses the identical architecture as v3 but with refined training hyperparameters: weight decay reduced from 0.05 to 0.01, warmup shortened from 5 to 3 epochs, and label smoothing halved from 0.1 to 0.05. These changes alone yielded a substantial 3.2-point improvement (88.4% → 91.6%), indicating that v3's original hyperparameters were over-regularising the model on this small dataset. V3.1 reaches 74.1% by epoch 1 (versus v3's 65.6%), crosses 85% by epoch 5, and achieves its peak of 91.6% at epoch 22 — substantially faster convergence than v3. The EMA model closely tracks the base model, reaching 90.6% at the same epoch. This finding underscores that for transformers in low-data regimes, hyperparameter sensitivity is at least as impactful as architectural changes.</w:t>
      </w:r>
    </w:p>
    <w:p>
      <w:pPr>
        <w:pStyle w:val="Heading2"/>
        <w:spacing w:after="80" w:before="160"/>
      </w:pPr>
      <w:r>
        <w:rPr>
          <w:rFonts w:ascii="Times New Roman" w:cs="Times New Roman" w:eastAsia="Times New Roman" w:hAnsi="Times New Roman"/>
          <w:b/>
          <w:bCs/>
          <w:i/>
          <w:iCs/>
          <w:sz w:val="24"/>
          <w:szCs w:val="24"/>
        </w:rPr>
        <w:t xml:space="preserve">5.5 Extended Training (30-Epoch Comparable)</w:t>
      </w:r>
    </w:p>
    <w:p>
      <w:pPr>
        <w:spacing w:after="120" w:before="0" w:line="276"/>
        <w:ind w:firstLine="720"/>
        <w:jc w:val="both"/>
      </w:pPr>
      <w:r>
        <w:rPr>
          <w:rFonts w:ascii="Times New Roman" w:cs="Times New Roman" w:eastAsia="Times New Roman" w:hAnsi="Times New Roman"/>
          <w:sz w:val="24"/>
          <w:szCs w:val="24"/>
        </w:rPr>
        <w:t xml:space="preserve">To provide a fairer comparison, EfficientNetV2-S was also trained for 30 epochs with the same augmentation and scheduling used for ViT-MoE (cosine LR, 3-epoch warmup, CutMix/MixUp). Under this comparable setting, EfficientNetV2-S reached 94.9% validation accuracy at epoch 21, maintaining a consistent 3.3-point lead over ViT-MoE v3.1 (91.6%). ConvNeXt-Tiny was also extended to 20 epochs but showed no improvement beyond its 10-epoch plateau of 89.5%, suggesting that its capacity is saturated on this dataset. Notably, ViT-MoE v3.1 now surpasses ConvNeXt-Tiny by 2.1 points — a reversal from v3, which trailed ConvNeXt by 1.1 points — indicating that the transformer architecture has a higher performance ceiling once training is properly tuned.</w:t>
      </w:r>
    </w:p>
    <w:p>
      <w:pPr>
        <w:spacing w:after="60" w:before="60"/>
      </w:pPr>
      <w:r>
        <w:t xml:space="preserve"/>
      </w:r>
    </w:p>
    <w:p>
      <w:pPr>
        <w:pStyle w:val="Heading1"/>
        <w:spacing w:after="120" w:before="200"/>
      </w:pPr>
      <w:r>
        <w:rPr>
          <w:rFonts w:ascii="Times New Roman" w:cs="Times New Roman" w:eastAsia="Times New Roman" w:hAnsi="Times New Roman"/>
          <w:b/>
          <w:bCs/>
          <w:caps w:val="false"/>
          <w:sz w:val="24"/>
          <w:szCs w:val="24"/>
        </w:rPr>
        <w:t xml:space="preserve">6. DISCUSSION</w:t>
      </w:r>
    </w:p>
    <w:p>
      <w:pPr>
        <w:pStyle w:val="Heading2"/>
        <w:spacing w:after="80" w:before="160"/>
      </w:pPr>
      <w:r>
        <w:rPr>
          <w:rFonts w:ascii="Times New Roman" w:cs="Times New Roman" w:eastAsia="Times New Roman" w:hAnsi="Times New Roman"/>
          <w:b/>
          <w:bCs/>
          <w:i/>
          <w:iCs/>
          <w:sz w:val="24"/>
          <w:szCs w:val="24"/>
        </w:rPr>
        <w:t xml:space="preserve">6.1 The Role of Inductive Bias in Low-Data Regimes</w:t>
      </w:r>
    </w:p>
    <w:p>
      <w:pPr>
        <w:spacing w:after="120" w:before="0" w:line="276"/>
        <w:ind w:firstLine="720"/>
        <w:jc w:val="both"/>
      </w:pPr>
      <w:r>
        <w:rPr>
          <w:rFonts w:ascii="Times New Roman" w:cs="Times New Roman" w:eastAsia="Times New Roman" w:hAnsi="Times New Roman"/>
          <w:sz w:val="24"/>
          <w:szCs w:val="24"/>
        </w:rPr>
        <w:t xml:space="preserve">The primary take-away from our experiments is that convolutional inductive biases — locality, weight sharing, and spatial equivariance — provide an advantage when training on small, domain-specific image datasets without pre-training. EfficientNetV2-S reaches 93.1% in just 10 epochs, while ViT-MoE v3.1 requires 22 epochs to reach 91.6%. However, the gap is narrower than previously reported for from-scratch ViT training: ViT-MoE v3.1 now outperforms ConvNeXt-Tiny, demonstrating that well-tuned transformers can compete with and surpass certain CNN families even at small scale. This partially challenges the conventional wisdom from Dosovitskiy et al. [6] that ViTs require JFT-scale pre-training to be competitive.</w:t>
      </w:r>
    </w:p>
    <w:p>
      <w:pPr>
        <w:pStyle w:val="Heading2"/>
        <w:spacing w:after="80" w:before="160"/>
      </w:pPr>
      <w:r>
        <w:rPr>
          <w:rFonts w:ascii="Times New Roman" w:cs="Times New Roman" w:eastAsia="Times New Roman" w:hAnsi="Times New Roman"/>
          <w:b/>
          <w:bCs/>
          <w:i/>
          <w:iCs/>
          <w:sz w:val="24"/>
          <w:szCs w:val="24"/>
        </w:rPr>
        <w:t xml:space="preserve">6.2 ViT-MoE Design Insights</w:t>
      </w:r>
    </w:p>
    <w:p>
      <w:pPr>
        <w:spacing w:after="120" w:before="0" w:line="276"/>
        <w:ind w:firstLine="720"/>
        <w:jc w:val="both"/>
      </w:pPr>
      <w:r>
        <w:rPr>
          <w:rFonts w:ascii="Times New Roman" w:cs="Times New Roman" w:eastAsia="Times New Roman" w:hAnsi="Times New Roman"/>
          <w:sz w:val="24"/>
          <w:szCs w:val="24"/>
        </w:rPr>
        <w:t xml:space="preserve">The evolution from v2 to v3.1 reveals several actionable lessons. Most critically, omitting positional embeddings (v2) effectively prevented the model from reasoning about spatial relationships between patches — a fundamental capability for image understanding. The addition of learnable positional embeddings in v3 was the single largest architectural driver of improvement. Correct MoE routing — multiplying expert outputs by normalised routing weights rather than simply summing them — was equally important for gradient flow. The load-balancing auxiliary loss proved effective at maintaining expert utilisation diversity throughout training.</w:t>
      </w:r>
    </w:p>
    <w:p>
      <w:pPr>
        <w:spacing w:after="120" w:before="0" w:line="276"/>
        <w:ind w:firstLine="720"/>
        <w:jc w:val="both"/>
      </w:pPr>
      <w:r>
        <w:rPr>
          <w:rFonts w:ascii="Times New Roman" w:cs="Times New Roman" w:eastAsia="Times New Roman" w:hAnsi="Times New Roman"/>
          <w:sz w:val="24"/>
          <w:szCs w:val="24"/>
        </w:rPr>
        <w:t xml:space="preserve">The v3 to v3.1 transition is equally instructive: without changing the architecture at all, reducing weight decay (0.05 → 0.01), shortening warmup (5 → 3 epochs), and halving label smoothing (0.1 → 0.05) yielded a 3.2-point accuracy improvement (88.4% → 91.6%). This reveals that v3's original hyperparameters were over-regularising the model on this small dataset, preventing the transformer from fitting the training distribution effectively. The sensitivity of transformers to regularisation hyperparameters on small datasets is a practical consideration that is under-discussed in the architecture-comparison literature.</w:t>
      </w:r>
    </w:p>
    <w:p>
      <w:pPr>
        <w:pStyle w:val="Heading2"/>
        <w:spacing w:after="80" w:before="160"/>
      </w:pPr>
      <w:r>
        <w:rPr>
          <w:rFonts w:ascii="Times New Roman" w:cs="Times New Roman" w:eastAsia="Times New Roman" w:hAnsi="Times New Roman"/>
          <w:b/>
          <w:bCs/>
          <w:i/>
          <w:iCs/>
          <w:sz w:val="24"/>
          <w:szCs w:val="24"/>
        </w:rPr>
        <w:t xml:space="preserve">6.3 Practical Implications</w:t>
      </w:r>
    </w:p>
    <w:p>
      <w:pPr>
        <w:spacing w:after="120" w:before="0" w:line="276"/>
        <w:ind w:firstLine="720"/>
        <w:jc w:val="both"/>
      </w:pPr>
      <w:r>
        <w:rPr>
          <w:rFonts w:ascii="Times New Roman" w:cs="Times New Roman" w:eastAsia="Times New Roman" w:hAnsi="Times New Roman"/>
          <w:sz w:val="24"/>
          <w:szCs w:val="24"/>
        </w:rPr>
        <w:t xml:space="preserve">For practitioners deploying plant-disease classifiers without pretrained model access, EfficientNetV2-S remains the recommended first choice: it is data-efficient, converges quickly, and achieves the best absolute accuracy (94.9% with extended training). However, ViT-MoE v3.1 at 91.6% is now a credible alternative, especially in settings where the MoE routing provides an interpretable decomposition of the feature space — for example, different experts may specialise on different disease categories or visual patterns. ConvNeXt-Tiny, while strong at 10 epochs (89.5%), shows diminishing returns with extended training, making it less attractive when longer training schedules are feasible.</w:t>
      </w:r>
    </w:p>
    <w:p>
      <w:pPr>
        <w:pStyle w:val="Heading2"/>
        <w:spacing w:after="80" w:before="160"/>
      </w:pPr>
      <w:r>
        <w:rPr>
          <w:rFonts w:ascii="Times New Roman" w:cs="Times New Roman" w:eastAsia="Times New Roman" w:hAnsi="Times New Roman"/>
          <w:b/>
          <w:bCs/>
          <w:i/>
          <w:iCs/>
          <w:sz w:val="24"/>
          <w:szCs w:val="24"/>
        </w:rPr>
        <w:t xml:space="preserve">6.4 Limitations</w:t>
      </w:r>
    </w:p>
    <w:p>
      <w:pPr>
        <w:spacing w:after="120" w:before="0" w:line="276"/>
        <w:ind w:firstLine="720"/>
        <w:jc w:val="both"/>
      </w:pPr>
      <w:r>
        <w:rPr>
          <w:rFonts w:ascii="Times New Roman" w:cs="Times New Roman" w:eastAsia="Times New Roman" w:hAnsi="Times New Roman"/>
          <w:sz w:val="24"/>
          <w:szCs w:val="24"/>
        </w:rPr>
        <w:t xml:space="preserve">The dataset used in this study, while balanced and carefully curated, contains only 4,000 images across four classes. Conclusions about relative architecture performance should be validated on larger benchmarks such as PlantVillage [9] or the iNaturalist plant disease subset. Additionally, all evaluations are conducted on held-out validation images from the same source distribution; real-world deployment under domain shift (variable lighting, camera, growing stage) may alter the relative rankings.</w:t>
      </w:r>
    </w:p>
    <w:p>
      <w:pPr>
        <w:spacing w:after="60" w:before="60"/>
      </w:pPr>
      <w:r>
        <w:t xml:space="preserve"/>
      </w:r>
    </w:p>
    <w:p>
      <w:pPr>
        <w:pStyle w:val="Heading1"/>
        <w:spacing w:after="120" w:before="200"/>
      </w:pPr>
      <w:r>
        <w:rPr>
          <w:rFonts w:ascii="Times New Roman" w:cs="Times New Roman" w:eastAsia="Times New Roman" w:hAnsi="Times New Roman"/>
          <w:b/>
          <w:bCs/>
          <w:caps w:val="false"/>
          <w:sz w:val="24"/>
          <w:szCs w:val="24"/>
        </w:rPr>
        <w:t xml:space="preserve">7. CONCLUSION</w:t>
      </w:r>
    </w:p>
    <w:p>
      <w:pPr>
        <w:spacing w:after="120" w:before="0" w:line="276"/>
        <w:ind w:firstLine="720"/>
        <w:jc w:val="both"/>
      </w:pPr>
      <w:r>
        <w:rPr>
          <w:rFonts w:ascii="Times New Roman" w:cs="Times New Roman" w:eastAsia="Times New Roman" w:hAnsi="Times New Roman"/>
          <w:sz w:val="24"/>
          <w:szCs w:val="24"/>
        </w:rPr>
        <w:t xml:space="preserve">We have presented a rigorous from-scratch benchmark of four modern deep learning architectures on a balanced, four-class plant disease dataset. EfficientNetV2-S achieves the highest accuracy (94.9% under comparable 30-epoch training) and fastest convergence, underscoring the data-efficiency of convolutional priors. Our proposed ViT-MoE achieves 91.6% in its final iteration (v3.1) — surpassing ConvNeXt-Tiny (89.5%) and YOLOv11 (86.5%) — demonstrating that a carefully engineered transformer-MoE architecture can not only approach but surpass certain CNN baselines even without transfer learning. The iterative improvements from v2 to v3 (positional embeddings, corrected MoE routing, load balancing, stochastic depth, extended augmentation) improved validation accuracy by over 20 percentage points, while the subsequent v3 to v3.1 hyperparameter refinement (reduced regularisation strength) added a further 3.2 points — together illustrating that both architectural design and training-recipe tuning are essential for transformer performance in low-data settings.</w:t>
      </w:r>
    </w:p>
    <w:p>
      <w:pPr>
        <w:spacing w:after="120" w:before="0" w:line="276"/>
        <w:ind w:firstLine="720"/>
        <w:jc w:val="both"/>
      </w:pPr>
      <w:r>
        <w:rPr>
          <w:rFonts w:ascii="Times New Roman" w:cs="Times New Roman" w:eastAsia="Times New Roman" w:hAnsi="Times New Roman"/>
          <w:sz w:val="24"/>
          <w:szCs w:val="24"/>
        </w:rPr>
        <w:t xml:space="preserve">Future work will explore (i) pre-training ViT-MoE on a larger unlabelled plant-image corpus via masked image modelling, (ii) increasing the number of experts and top-k selection for richer sparse routing, (iii) evaluating robustness under real-world domain shift using field-captured leaf images, and (iv) extending the benchmark to the full PlantVillage dataset (54,306 images, 26 diseases) to assess scaling behaviour.</w:t>
      </w:r>
    </w:p>
    <w:p>
      <w:pPr>
        <w:spacing w:after="60" w:before="60"/>
      </w:pPr>
      <w:r>
        <w:t xml:space="preserve"/>
      </w:r>
    </w:p>
    <w:p>
      <w:pPr>
        <w:pStyle w:val="Heading1"/>
        <w:spacing w:after="120" w:before="200"/>
      </w:pPr>
      <w:r>
        <w:rPr>
          <w:rFonts w:ascii="Times New Roman" w:cs="Times New Roman" w:eastAsia="Times New Roman" w:hAnsi="Times New Roman"/>
          <w:b/>
          <w:bCs/>
          <w:caps w:val="false"/>
          <w:sz w:val="24"/>
          <w:szCs w:val="24"/>
        </w:rPr>
        <w:t xml:space="preserve">REFERENCES</w:t>
      </w:r>
    </w:p>
    <w:p>
      <w:pPr>
        <w:spacing w:after="100" w:before="0" w:line="260"/>
        <w:ind w:left="360" w:hanging="360"/>
      </w:pPr>
      <w:r>
        <w:rPr>
          <w:rFonts w:ascii="Times New Roman" w:cs="Times New Roman" w:eastAsia="Times New Roman" w:hAnsi="Times New Roman"/>
          <w:sz w:val="20"/>
          <w:szCs w:val="20"/>
        </w:rPr>
        <w:t xml:space="preserve">[1] FAO, "The State of Food and Agriculture," Food and Agriculture Organization of the United Nations, Rome, 2019.</w:t>
      </w:r>
    </w:p>
    <w:p>
      <w:pPr>
        <w:spacing w:after="100" w:before="0" w:line="260"/>
        <w:ind w:left="360" w:hanging="360"/>
      </w:pPr>
      <w:r>
        <w:rPr>
          <w:rFonts w:ascii="Times New Roman" w:cs="Times New Roman" w:eastAsia="Times New Roman" w:hAnsi="Times New Roman"/>
          <w:sz w:val="20"/>
          <w:szCs w:val="20"/>
        </w:rPr>
        <w:t xml:space="preserve">[2] A. Krizhevsky, I. Sutskever, and G. E. Hinton, "ImageNet classification with deep convolutional neural networks," NeurIPS, vol. 25, 2012.</w:t>
      </w:r>
    </w:p>
    <w:p>
      <w:pPr>
        <w:spacing w:after="100" w:before="0" w:line="260"/>
        <w:ind w:left="360" w:hanging="360"/>
      </w:pPr>
      <w:r>
        <w:rPr>
          <w:rFonts w:ascii="Times New Roman" w:cs="Times New Roman" w:eastAsia="Times New Roman" w:hAnsi="Times New Roman"/>
          <w:sz w:val="20"/>
          <w:szCs w:val="20"/>
        </w:rPr>
        <w:t xml:space="preserve">[3] K. He, X. Zhang, S. Ren, and J. Sun, "Deep residual learning for image recognition," CVPR, pp. 770–778, 2016.</w:t>
      </w:r>
    </w:p>
    <w:p>
      <w:pPr>
        <w:spacing w:after="100" w:before="0" w:line="260"/>
        <w:ind w:left="360" w:hanging="360"/>
      </w:pPr>
      <w:r>
        <w:rPr>
          <w:rFonts w:ascii="Times New Roman" w:cs="Times New Roman" w:eastAsia="Times New Roman" w:hAnsi="Times New Roman"/>
          <w:sz w:val="20"/>
          <w:szCs w:val="20"/>
        </w:rPr>
        <w:t xml:space="preserve">[4] M. Tan and Q. Le, "EfficientNet: Rethinking model scaling for convolutional neural networks," ICML, 2019.</w:t>
      </w:r>
    </w:p>
    <w:p>
      <w:pPr>
        <w:spacing w:after="100" w:before="0" w:line="260"/>
        <w:ind w:left="360" w:hanging="360"/>
      </w:pPr>
      <w:r>
        <w:rPr>
          <w:rFonts w:ascii="Times New Roman" w:cs="Times New Roman" w:eastAsia="Times New Roman" w:hAnsi="Times New Roman"/>
          <w:sz w:val="20"/>
          <w:szCs w:val="20"/>
        </w:rPr>
        <w:t xml:space="preserve">[5] Z. Liu et al., "A ConvNet for the 2020s," CVPR, pp. 11976–11986, 2022.</w:t>
      </w:r>
    </w:p>
    <w:p>
      <w:pPr>
        <w:spacing w:after="100" w:before="0" w:line="260"/>
        <w:ind w:left="360" w:hanging="360"/>
      </w:pPr>
      <w:r>
        <w:rPr>
          <w:rFonts w:ascii="Times New Roman" w:cs="Times New Roman" w:eastAsia="Times New Roman" w:hAnsi="Times New Roman"/>
          <w:sz w:val="20"/>
          <w:szCs w:val="20"/>
        </w:rPr>
        <w:t xml:space="preserve">[6] A. Dosovitskiy et al., "An image is worth 16x16 words: Transformers for image recognition at scale," ICLR, 2021.</w:t>
      </w:r>
    </w:p>
    <w:p>
      <w:pPr>
        <w:spacing w:after="100" w:before="0" w:line="260"/>
        <w:ind w:left="360" w:hanging="360"/>
      </w:pPr>
      <w:r>
        <w:rPr>
          <w:rFonts w:ascii="Times New Roman" w:cs="Times New Roman" w:eastAsia="Times New Roman" w:hAnsi="Times New Roman"/>
          <w:sz w:val="20"/>
          <w:szCs w:val="20"/>
        </w:rPr>
        <w:t xml:space="preserve">[7] N. Shazeer et al., "Outrageously large neural networks: The sparsely-gated mixture-of-experts layer," ICLR, 2017.</w:t>
      </w:r>
    </w:p>
    <w:p>
      <w:pPr>
        <w:spacing w:after="100" w:before="0" w:line="260"/>
        <w:ind w:left="360" w:hanging="360"/>
      </w:pPr>
      <w:r>
        <w:rPr>
          <w:rFonts w:ascii="Times New Roman" w:cs="Times New Roman" w:eastAsia="Times New Roman" w:hAnsi="Times New Roman"/>
          <w:sz w:val="20"/>
          <w:szCs w:val="20"/>
        </w:rPr>
        <w:t xml:space="preserve">[8] E. C. Too et al., "A comparative study of fine-tuning deep learning models for plant disease identification," Computers and Electronics in Agriculture, 2019.</w:t>
      </w:r>
    </w:p>
    <w:p>
      <w:pPr>
        <w:spacing w:after="100" w:before="0" w:line="260"/>
        <w:ind w:left="360" w:hanging="360"/>
      </w:pPr>
      <w:r>
        <w:rPr>
          <w:rFonts w:ascii="Times New Roman" w:cs="Times New Roman" w:eastAsia="Times New Roman" w:hAnsi="Times New Roman"/>
          <w:sz w:val="20"/>
          <w:szCs w:val="20"/>
        </w:rPr>
        <w:t xml:space="preserve">[9] S. P. Mohanty, D. P. Hughes, and M. Salathé, "Using deep learning for image-based plant disease detection," Frontiers in Plant Science, 2016.</w:t>
      </w:r>
    </w:p>
    <w:p>
      <w:pPr>
        <w:spacing w:after="100" w:before="0" w:line="260"/>
        <w:ind w:left="360" w:hanging="360"/>
      </w:pPr>
      <w:r>
        <w:rPr>
          <w:rFonts w:ascii="Times New Roman" w:cs="Times New Roman" w:eastAsia="Times New Roman" w:hAnsi="Times New Roman"/>
          <w:sz w:val="20"/>
          <w:szCs w:val="20"/>
        </w:rPr>
        <w:t xml:space="preserve">[10] K. P. Ferentinos, "Deep learning models for plant disease detection and diagnosis," Computers and Electronics in Agriculture, vol. 145, 2018.</w:t>
      </w:r>
    </w:p>
    <w:p>
      <w:pPr>
        <w:spacing w:after="100" w:before="0" w:line="260"/>
        <w:ind w:left="360" w:hanging="360"/>
      </w:pPr>
      <w:r>
        <w:rPr>
          <w:rFonts w:ascii="Times New Roman" w:cs="Times New Roman" w:eastAsia="Times New Roman" w:hAnsi="Times New Roman"/>
          <w:sz w:val="20"/>
          <w:szCs w:val="20"/>
        </w:rPr>
        <w:t xml:space="preserve">[11] A. Ramcharan et al., "Deep learning for image-based cassava disease detection," Frontiers in Plant Science, 2017.</w:t>
      </w:r>
    </w:p>
    <w:p>
      <w:pPr>
        <w:spacing w:after="100" w:before="0" w:line="260"/>
        <w:ind w:left="360" w:hanging="360"/>
      </w:pPr>
      <w:r>
        <w:rPr>
          <w:rFonts w:ascii="Times New Roman" w:cs="Times New Roman" w:eastAsia="Times New Roman" w:hAnsi="Times New Roman"/>
          <w:sz w:val="20"/>
          <w:szCs w:val="20"/>
        </w:rPr>
        <w:t xml:space="preserve">[12] A. Kamilaris and F. X. Prenafeta-Boldú, "Deep learning in agriculture: A survey," Computers and Electronics in Agriculture, 2018.</w:t>
      </w:r>
    </w:p>
    <w:p>
      <w:pPr>
        <w:spacing w:after="100" w:before="0" w:line="260"/>
        <w:ind w:left="360" w:hanging="360"/>
      </w:pPr>
      <w:r>
        <w:rPr>
          <w:rFonts w:ascii="Times New Roman" w:cs="Times New Roman" w:eastAsia="Times New Roman" w:hAnsi="Times New Roman"/>
          <w:sz w:val="20"/>
          <w:szCs w:val="20"/>
        </w:rPr>
        <w:t xml:space="preserve">[13] X. Wang et al., "Tomato disease detection based on EfficientNet from a small dataset," Computers and Electronics in Agriculture, 2020.</w:t>
      </w:r>
    </w:p>
    <w:p>
      <w:pPr>
        <w:spacing w:after="100" w:before="0" w:line="260"/>
        <w:ind w:left="360" w:hanging="360"/>
      </w:pPr>
      <w:r>
        <w:rPr>
          <w:rFonts w:ascii="Times New Roman" w:cs="Times New Roman" w:eastAsia="Times New Roman" w:hAnsi="Times New Roman"/>
          <w:sz w:val="20"/>
          <w:szCs w:val="20"/>
        </w:rPr>
        <w:t xml:space="preserve">[14] H. Touvron et al., "Training data-efficient image transformers and distillation through attention," ICML, 2021.</w:t>
      </w:r>
    </w:p>
    <w:p>
      <w:pPr>
        <w:spacing w:after="100" w:before="0" w:line="260"/>
        <w:ind w:left="360" w:hanging="360"/>
      </w:pPr>
      <w:r>
        <w:rPr>
          <w:rFonts w:ascii="Times New Roman" w:cs="Times New Roman" w:eastAsia="Times New Roman" w:hAnsi="Times New Roman"/>
          <w:sz w:val="20"/>
          <w:szCs w:val="20"/>
        </w:rPr>
        <w:t xml:space="preserve">[15] Z. Liu et al., "Swin Transformer: Hierarchical vision transformer using shifted windows," ICCV, 2021.</w:t>
      </w:r>
    </w:p>
    <w:p>
      <w:pPr>
        <w:spacing w:after="100" w:before="0" w:line="260"/>
        <w:ind w:left="360" w:hanging="360"/>
      </w:pPr>
      <w:r>
        <w:rPr>
          <w:rFonts w:ascii="Times New Roman" w:cs="Times New Roman" w:eastAsia="Times New Roman" w:hAnsi="Times New Roman"/>
          <w:sz w:val="20"/>
          <w:szCs w:val="20"/>
        </w:rPr>
        <w:t xml:space="preserve">[16] C. Chen et al., "A survey on plant disease recognition using deep learning," IEEE Access, 2022.</w:t>
      </w:r>
    </w:p>
    <w:p>
      <w:pPr>
        <w:spacing w:after="100" w:before="0" w:line="260"/>
        <w:ind w:left="360" w:hanging="360"/>
      </w:pPr>
      <w:r>
        <w:rPr>
          <w:rFonts w:ascii="Times New Roman" w:cs="Times New Roman" w:eastAsia="Times New Roman" w:hAnsi="Times New Roman"/>
          <w:sz w:val="20"/>
          <w:szCs w:val="20"/>
        </w:rPr>
        <w:t xml:space="preserve">[17] W. Fedus, B. Zoph, and N. Shazeer, "Switch Transformers: Scaling to trillion parameter models with simple and efficient sparsity," JMLR, 2022.</w:t>
      </w:r>
    </w:p>
    <w:p>
      <w:pPr>
        <w:spacing w:after="100" w:before="0" w:line="260"/>
        <w:ind w:left="360" w:hanging="360"/>
      </w:pPr>
      <w:r>
        <w:rPr>
          <w:rFonts w:ascii="Times New Roman" w:cs="Times New Roman" w:eastAsia="Times New Roman" w:hAnsi="Times New Roman"/>
          <w:sz w:val="20"/>
          <w:szCs w:val="20"/>
        </w:rPr>
        <w:t xml:space="preserve">[18] N. Du et al., "GLaM: Efficient scaling of language models with mixture-of-experts," ICML, 2022.</w:t>
      </w:r>
    </w:p>
    <w:p>
      <w:pPr>
        <w:spacing w:after="100" w:before="0" w:line="260"/>
        <w:ind w:left="360" w:hanging="360"/>
      </w:pPr>
      <w:r>
        <w:rPr>
          <w:rFonts w:ascii="Times New Roman" w:cs="Times New Roman" w:eastAsia="Times New Roman" w:hAnsi="Times New Roman"/>
          <w:sz w:val="20"/>
          <w:szCs w:val="20"/>
        </w:rPr>
        <w:t xml:space="preserve">[19] C. Riquelme et al., "Scaling vision with sparse mixture of experts," NeurIPS, 2021.</w:t>
      </w:r>
    </w:p>
    <w:p>
      <w:pPr>
        <w:spacing w:after="100" w:before="0" w:line="260"/>
        <w:ind w:left="360" w:hanging="360"/>
      </w:pPr>
      <w:r>
        <w:rPr>
          <w:rFonts w:ascii="Times New Roman" w:cs="Times New Roman" w:eastAsia="Times New Roman" w:hAnsi="Times New Roman"/>
          <w:sz w:val="20"/>
          <w:szCs w:val="20"/>
        </w:rPr>
        <w:t xml:space="preserve">[20] M. Tan and Q. Le, "EfficientNetV2: Smaller models and faster training," ICML, 2021.</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9E" w:sz="4" w:space="4"/>
      </w:pBdr>
      <w:jc w:val="right"/>
    </w:pPr>
    <w:r>
      <w:rPr>
        <w:rFonts w:ascii="Times New Roman" w:cs="Times New Roman" w:eastAsia="Times New Roman" w:hAnsi="Times New Roman"/>
        <w:i/>
        <w:iCs/>
        <w:color w:val="555555"/>
        <w:sz w:val="18"/>
        <w:szCs w:val="18"/>
      </w:rPr>
      <w:t xml:space="preserve">Plant Disease Classification — Comparative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00"/>
      <w:outlineLvl w:val="0"/>
    </w:pPr>
    <w:rPr>
      <w:rFonts w:ascii="Times New Roman" w:cs="Times New Roman" w:eastAsia="Times New Roman" w:hAnsi="Times New Roman"/>
      <w:b/>
      <w:bCs/>
      <w:color w:val="1F3864"/>
      <w:sz w:val="24"/>
      <w:szCs w:val="24"/>
    </w:rPr>
  </w:style>
  <w:style w:type="paragraph" w:styleId="Heading2">
    <w:name w:val="Heading 2"/>
    <w:basedOn w:val="Normal"/>
    <w:next w:val="Normal"/>
    <w:pPr>
      <w:spacing w:after="80" w:before="160"/>
      <w:outlineLvl w:val="1"/>
    </w:pPr>
    <w:rPr>
      <w:rFonts w:ascii="Times New Roman" w:cs="Times New Roman" w:eastAsia="Times New Roman" w:hAnsi="Times New Roman"/>
      <w:b/>
      <w:bCs/>
      <w:i/>
      <w:iCs/>
      <w:color w:val="2E5E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2026-04-01T18:06:11.670Z</dcterms:created>
  <dcterms:modified xsi:type="dcterms:W3CDTF">2026-04-01T18:06:11.670Z</dcterms:modified>
</cp:coreProperties>
</file>

<file path=docProps/custom.xml><?xml version="1.0" encoding="utf-8"?>
<Properties xmlns="http://schemas.openxmlformats.org/officeDocument/2006/custom-properties" xmlns:vt="http://schemas.openxmlformats.org/officeDocument/2006/docPropsVTypes"/>
</file>