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</w:pPr>
      <w:r>
        <w:rPr>
          <w:b/>
          <w:color w:val="2E74B5"/>
          <w:sz w:val="18"/>
        </w:rPr>
        <w:t>DOCUMENTO BASE PARA PLANEJAMENTO</w:t>
      </w:r>
    </w:p>
    <w:p>
      <w:pPr>
        <w:pStyle w:val="Title"/>
      </w:pPr>
      <w:r>
        <w:t>Plano de Implementação do Fork</w:t>
      </w:r>
    </w:p>
    <w:p>
      <w:pPr>
        <w:pStyle w:val="Subtitle"/>
      </w:pPr>
      <w:r>
        <w:t>Keycloak, autenticação OIDC, identidade visual e conformidade AGPL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7324D"/>
              </w:rPr>
              <w:t>Versão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0.1 — base inicial para decisões e estimativas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7324D"/>
              </w:rPr>
              <w:t>Data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 de agosto de 2026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7324D"/>
              </w:rPr>
              <w:t>Situação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Planejamento — sujeito à validação técnica e jurídica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7324D"/>
              </w:rPr>
              <w:t>Escopo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Fork OSS do LearnHouse, integração própria com Keycloak e rebranding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7324D"/>
              </w:rPr>
              <w:t>Decisão central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Preservar autorização e sessão internas; usar Keycloak como provedor OIDC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</w:pPr>
            <w:r>
              <w:rPr>
                <w:b/>
                <w:color w:val="17324D"/>
              </w:rPr>
              <w:t xml:space="preserve">Diretriz: </w:t>
            </w:r>
            <w:r>
              <w:t>A implementação será construída exclusivamente sobre o código público AGPL e os padrões OIDC. Não será utilizado, copiado ou desbloqueado o módulo Enterprise do LearnHouse.</w:t>
            </w:r>
          </w:p>
        </w:tc>
      </w:tr>
    </w:tbl>
    <w:p>
      <w:pPr>
        <w:spacing w:after="0"/>
      </w:pPr>
    </w:p>
    <w:p>
      <w:pPr>
        <w:pStyle w:val="Heading1"/>
      </w:pPr>
      <w:r>
        <w:t>1. Resumo executivo</w:t>
      </w:r>
    </w:p>
    <w:p>
      <w:r>
        <w:t>Este documento define a base técnica e operacional para transformar o fork público do LearnHouse em um produto com identidade própria e autenticação centralizada no Keycloak. A proposta preserva o modelo de autorização, organizações, papéis e sessões internas da plataforma, introduzindo o Keycloak como provedor de identidade por OpenID Connect (OIDC).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Tema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Decisão proposta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Motivo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Autenticação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Keycloak via Authorization Code Flow + PKCE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Padrão seguro e compatível com aplicações web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Sessão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JWT e cookies internos do fork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Minimiza impacto no FastAPI, frontend e API tokens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Autorização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Banco e RBAC internos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Evita acoplamento dos cursos e permissões ao realm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Provisionamento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Identidade externa por issuer + sub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Evita usar e-mail como identificador permanente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Identidade visual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Rebranding integral da interface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Reduz risco de confusão com a marca original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Licença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Fork e alterações sob AGPL-3.0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Atende às obrigações do código original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after="0"/>
            </w:pPr>
            <w:r>
              <w:rPr>
                <w:b/>
                <w:color w:val="17324D"/>
              </w:rPr>
              <w:t xml:space="preserve">Resultado esperado: </w:t>
            </w:r>
            <w:r>
              <w:t>Uma plataforma identificada por marca própria, com login corporativo via Keycloak, administração de usuários integrada e um processo sustentável para incorporar atualizações do projeto original.</w:t>
            </w:r>
          </w:p>
        </w:tc>
      </w:tr>
    </w:tbl>
    <w:p>
      <w:pPr>
        <w:spacing w:after="0"/>
      </w:pPr>
    </w:p>
    <w:p>
      <w:pPr>
        <w:pStyle w:val="Heading1"/>
      </w:pPr>
      <w:r>
        <w:t>2. Objetivos e limites</w:t>
      </w:r>
    </w:p>
    <w:p>
      <w:pPr>
        <w:pStyle w:val="Heading2"/>
      </w:pPr>
      <w:r>
        <w:t>2.1 Objetivos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t>Implantar autenticação OIDC com Keycloak sem depender do módulo Enterprise.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t>Preservar compatibilidade com usuários, organizações, papéis, cursos e API tokens existentes.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t>Eliminar a exposição de refresh tokens ao JavaScript do navegador.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t>Permitir provisionamento controlado e associação segura de identidades externas.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t>Substituir a identidade visual e o nome do produto em toda a experiência do usuário.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t>Manter conformidade com a AGPL-3.0 e com as atribuições do projeto original.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t>Organizar a implementação em fases testáveis e reversíveis.</w:t>
      </w:r>
    </w:p>
    <w:p>
      <w:pPr>
        <w:pStyle w:val="Heading2"/>
      </w:pPr>
      <w:r>
        <w:t>2.2 Fora do escopo inicial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t>Copiar, ativar ou reproduzir código não público do módulo Enterprise.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t>Migrar toda a autorização de cursos e organizações para roles do Keycloak.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t>Substituir imediatamente todos os identificadores técnicos LH_* e LEARNHOUSE_*.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t>Implementar SAML no primeiro ciclo; OIDC será o protocolo inicial.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t>Sincronização completa de usuários por SCIM no primeiro release.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t>Multi-organização caso dependa de componentes não presentes no núcleo OSS utilizado pelo fork.</w:t>
      </w:r>
    </w:p>
    <w:p>
      <w:pPr>
        <w:pStyle w:val="Heading1"/>
      </w:pPr>
      <w:r>
        <w:t>3. Premissas e decisões arquiteturais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050"/>
        <w:gridCol w:w="431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ID</w:t>
            </w:r>
          </w:p>
        </w:tc>
        <w:tc>
          <w:tcPr>
            <w:tcW w:type="dxa" w:w="4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Decisão</w:t>
            </w:r>
          </w:p>
        </w:tc>
        <w:tc>
          <w:tcPr>
            <w:tcW w:type="dxa" w:w="4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Consequência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ADR-01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Keycloak é o provedor de identidade; o fork continua sendo o resource server e emissor da sessão local.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 backend valida a identidade externa e emite credenciais internas.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ADR-02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OIDC Authorization Code Flow com PKCE S256.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Nenhum token de autenticação será transportado em fragmento de URL.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ADR-03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Callback processado no servidor/BFF.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Access e refresh tokens não passam pelo estado React nem pelo JavaScript do cliente.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ADR-04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autorização permanece no banco da aplicação.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Roles do Keycloak só poderão ser mapeadas por regras explícitas e restritivas.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ADR-05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Identidade externa é issuer + subject.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Mudança de e-mail não cria nova conta nem transfere identidade.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ADR-06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Logout local e logout OIDC são coordenados.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sessão no Keycloak não permanecerá ativa inadvertidamente após sair da plataforma.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ADR-07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 rebranding visível é desacoplado dos identificadores legados.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Atualizações upstream permanecem viáveis e migrações de cookie podem ser graduais.</w:t>
            </w:r>
          </w:p>
        </w:tc>
      </w:tr>
    </w:tbl>
    <w:p>
      <w:pPr>
        <w:spacing w:after="0"/>
      </w:pPr>
    </w:p>
    <w:p>
      <w:pPr>
        <w:pStyle w:val="Heading1"/>
      </w:pPr>
      <w:r>
        <w:t>4. Arquitetura-alvo</w:t>
      </w:r>
    </w:p>
    <w:p>
      <w:r>
        <w:t>O navegador se comunica somente com o Next.js no fluxo interativo. O Next.js atua como Backend-for-Frontend (BFF), encaminha operações ao FastAPI e grava cookies seguros. O FastAPI realiza descoberta OIDC, validação criptográfica, provisionamento, vinculação à organização e emissão da sessão interna.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Camada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Responsabilidades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Navegador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Iniciar login, seguir redirects, consumir a sessão sem acesso aos refresh tokens.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Next.js / BFF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Callback server-side, cookies httpOnly, proteção de redirects, renovação e logout coordenado.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FastAPI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Descoberta OIDC, validação, linking, provisionamento, políticas, JWT interno e auditoria.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Keycloak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Credenciais, MFA, políticas de senha, sessão SSO, federação LDAP/AD e revogação.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PostgreSQL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Usuário, identidade externa, organização, papéis, vínculo e metadados de sessão.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Redis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state, nonce, PKCE verifier, uso único, cache JWKS/discovery e controles de sessão.</w:t>
            </w:r>
          </w:p>
        </w:tc>
      </w:tr>
    </w:tbl>
    <w:p>
      <w:pPr>
        <w:spacing w:after="0"/>
      </w:pPr>
    </w:p>
    <w:p>
      <w:pPr>
        <w:pStyle w:val="Heading2"/>
      </w:pPr>
      <w:r>
        <w:t>4.1 Fluxo de login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t>Usuário escolhe “Entrar com identidade corporativa” na página da organização.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t>BFF solicita ao FastAPI a criação do fluxo para o org_slug informado.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t>FastAPI gera state, nonce e code_verifier, armazena os valores no Redis com validade curta e uso único.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t>Navegador é redirecionado ao authorization_endpoint do Keycloak com code_challenge S256.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t>Após autenticação e MFA, o Keycloak retorna apenas code e state ao callback cadastrado.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t>Callback server-side valida state, troca o código no token_endpoint e valida o ID token.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t>FastAPI localiza ou cria a identidade externa, verifica organização e emite a sessão interna.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t>BFF grava LH_access, LH_refresh e o marcador de sessão como cookies adequados ao domínio.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t>Navegador recebe somente um redirect interno sanitizado para a página de destino.</w:t>
      </w:r>
    </w:p>
    <w:p>
      <w:pPr>
        <w:pStyle w:val="Heading2"/>
      </w:pPr>
      <w:r>
        <w:t>4.2 Fluxo de refresh</w:t>
      </w:r>
    </w:p>
    <w:p>
      <w:r>
        <w:t>A versão completa deve vincular a sessão local à sessão upstream do Keycloak. No refresh interno, o backend valida ou renova primeiro a sessão upstream; somente depois rotaciona o refresh token local. Rejeição definitiva no Keycloak encerra a sessão local. Falhas transitórias devem preservar a sessão e permitir nova tentativa, seguindo o tratamento já existente no LearnHouse.</w:t>
      </w:r>
    </w:p>
    <w:p>
      <w:pPr>
        <w:pStyle w:val="Heading2"/>
      </w:pPr>
      <w:r>
        <w:t>4.3 Fluxo de logout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t>Revogar a sessão local e invalidar o refresh token interno.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t>Remover cookies host-only e domain-scoped aplicáveis.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t>Redirecionar o navegador ao end_session_endpoint do Keycloak.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t>Enviar client_id ou id_token_hint e post_logout_redirect_uri previamente cadastrada.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t>Receber back-channel logout e revogar sessões locais associadas ao sid quando habilitado.</w:t>
      </w:r>
    </w:p>
    <w:p>
      <w:pPr>
        <w:pStyle w:val="Heading1"/>
      </w:pPr>
      <w:r>
        <w:t>5. Configuração do Keycloak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Configuração</w:t>
            </w:r>
          </w:p>
        </w:tc>
        <w:tc>
          <w:tcPr>
            <w:tcW w:type="dxa" w:w="6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Valor recomendado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Realm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Um realm dedicado ao produto ou um realm corporativo aprovado pela governança.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Client type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OpenID Connect, cliente confidencial.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Client authentication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Ativado.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Standard flow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Ativado.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Implicit flow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Desativado.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Direct access grants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Desativado, salvo requisito formal e análise específica.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PKCE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S256 obrigatório.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Scopes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openid email profile; groups somente quando necessário.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Redirect URI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URI exata do callback, sem wildcard amplo.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Post logout URI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URI exata para retorno após logout.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Web origins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Origens exatas da aplicação.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MFA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Fluxo de autenticação do realm; MFA local não deve ser repetido para SSO.</w:t>
            </w:r>
          </w:p>
        </w:tc>
      </w:tr>
    </w:tbl>
    <w:p>
      <w:pPr>
        <w:spacing w:after="0"/>
      </w:pPr>
    </w:p>
    <w:p>
      <w:pPr>
        <w:pStyle w:val="Heading2"/>
      </w:pPr>
      <w:r>
        <w:t>5.1 Claims mínimos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t>sub: identificador estável do usuário no issuer.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t>iss: emissor esperado e previamente cadastrado.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t>aud e azp: audiência e cliente autorizado.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t>email e email_verified: contato e condição mínima para associação por e-mail.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t>given_name, family_name e preferred_username: preenchimento de perfil.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t>sid: correlação de sessão para logout coordenado.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t>acr e amr: evidência do nível e método de autenticação, quando exigidos pela política.</w:t>
      </w:r>
    </w:p>
    <w:p>
      <w:pPr>
        <w:pStyle w:val="Heading1"/>
      </w:pPr>
      <w:r>
        <w:t>6. Componentes a implementar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60"/>
        <w:gridCol w:w="350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Componente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Responsabilidade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Local sugerido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Router OIDC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Authorize, callback, logout e back-channel logout.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apps/api/src/routers/keycloak_auth.py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Serviço OIDC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Discovery, PKCE, troca de código, JWKS e validação de tokens.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apps/api/src/services/auth/keycloak_oidc.py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Identidade externa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Persistência de issuer + sub e associação ao usuário.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apps/api/src/db/external_identities.py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Sessão upstream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Vínculo com sid e refresh upstream criptografado.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apps/api/src/services/auth/upstream_session.py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BFF authorize/callback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Redirecionamento e gravação de cookies sem expor tokens.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apps/web/app/api/auth/keycloak/*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Login UI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Botão, erros e redirecionamento por organização.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apps/web/app/auth/login/*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 OIDC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Configuração do issuer, client e política de provisioning.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apps/web/components/.../AuthSettings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Auditoria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Eventos de login, linking, provisioning, refresh, logout e falhas.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Serviço de auditoria existente</w:t>
            </w:r>
          </w:p>
        </w:tc>
      </w:tr>
    </w:tbl>
    <w:p>
      <w:pPr>
        <w:spacing w:after="0"/>
      </w:pPr>
    </w:p>
    <w:p>
      <w:pPr>
        <w:pStyle w:val="Heading1"/>
      </w:pPr>
      <w:r>
        <w:t>7. Modelo de dados</w:t>
      </w:r>
    </w:p>
    <w:p>
      <w:pPr>
        <w:pStyle w:val="Heading2"/>
      </w:pPr>
      <w:r>
        <w:t>7.1 ExternalIdentity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Campo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Tipo sugerido</w:t>
            </w:r>
          </w:p>
        </w:tc>
        <w:tc>
          <w:tcPr>
            <w:tcW w:type="dxa" w:w="4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Regra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bigint/UUID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Chave primária.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FK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Usuário local associado.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organization_id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FK nullable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Organização do fluxo quando houver vínculo específico.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issuer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text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Issuer normalizado e validado.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text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Claim sub imutável no issuer.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provider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text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keycloak ou oidc.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email_at_link_time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text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Somente auditoria; não é a chave da identidade.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created_at / last_login_at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timestamp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Criação e último uso.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spacing w:after="0"/>
            </w:pPr>
            <w:r>
              <w:rPr>
                <w:b/>
                <w:color w:val="17324D"/>
              </w:rPr>
              <w:t xml:space="preserve">Restrição obrigatória: </w:t>
            </w:r>
            <w:r>
              <w:t>Criar unicidade em (issuer, subject). A associação automática por e-mail só pode ocorrer quando email_verified=true e a política da organização permitir.</w:t>
            </w:r>
          </w:p>
        </w:tc>
      </w:tr>
    </w:tbl>
    <w:p>
      <w:pPr>
        <w:spacing w:after="0"/>
      </w:pPr>
    </w:p>
    <w:p>
      <w:pPr>
        <w:pStyle w:val="Heading2"/>
      </w:pPr>
      <w:r>
        <w:t>7.2 OIDCProviderConfig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t>issuer_url, client_id, scopes e status ativo.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t>client_secret criptografado com chave externa ao banco.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t>allowed_email_domains e auto_provision_users.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t>default_role_id e política explícita de mapeamento de grupos.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t>required_acr, clock_skew e tempos máximos permitidos.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t>Na leitura administrativa, retornar secret_configured=true; nunca devolver o segredo.</w:t>
      </w:r>
    </w:p>
    <w:p>
      <w:pPr>
        <w:pStyle w:val="Heading1"/>
      </w:pPr>
      <w:r>
        <w:t>8. Segurança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00"/>
        <w:gridCol w:w="30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Risco</w:t>
            </w:r>
          </w:p>
        </w:tc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Controle obrigatório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Critério de verificação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Roubo de código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State e nonce aleatórios, curtos, de uso único e vinculados ao org/redirect.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Reuso e expiração retornam erro sem criar sessão.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Intercepção do código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PKCE S256 e callback HTTPS.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Token endpoint rejeita verifier incorreto.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Token inválido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Validar assinatura, iss, aud/azp, exp, nbf, iat e nonce.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Testes negativos por claim e chave.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Account takeover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Identidade por issuer + sub e e-mail verificado para linking inicial.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E-mail não verificado nunca vincula conta.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SSRF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Issuer HTTPS, allowlist opcional, bloqueio de rede privada/link-local e redirects controlados.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Testes com localhost e metadata endpoint.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Segredo exposto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Secret criptografado e nunca devolvido ao frontend ou logs.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Busca no bundle e respostas sem secret.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Sessão revogada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Refresh upstream e back-channel logout por sid.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Desabilitar usuário encerra acesso dentro do SLA definido.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Open redirect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Somente caminhos relativos same-origin ou destinos cadastrados.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URLs //host e esquemas externos são rejeitados.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Vazamento no navegador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Callback e cookies processados no BFF; refresh token nunca entra no React.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DevTools não revela refresh token em JSON.</w:t>
            </w:r>
          </w:p>
        </w:tc>
      </w:tr>
    </w:tbl>
    <w:p>
      <w:pPr>
        <w:spacing w:after="0"/>
      </w:pPr>
    </w:p>
    <w:p>
      <w:pPr>
        <w:pStyle w:val="Heading2"/>
      </w:pPr>
      <w:r>
        <w:t>8.1 Política de cookies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t>httpOnly=true para access e refresh tokens.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t>Secure=true em todos os ambientes não locais.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t>SameSite=Lax para redirects OIDC de navegação superior; reavaliar somente com requisito comprovado.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t>Domain host-only no modo de domínio customizado e escopo controlado no domínio principal.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t>Limpeza das variantes host-only e domain-scoped no logout.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t>CSP, HSTS e proteção contra cache de respostas de autenticação.</w:t>
      </w:r>
    </w:p>
    <w:p>
      <w:pPr>
        <w:pStyle w:val="Heading1"/>
      </w:pPr>
      <w:r>
        <w:t>9. Provisionamento e autorização</w:t>
      </w:r>
    </w:p>
    <w:p>
      <w:pPr>
        <w:pStyle w:val="Heading2"/>
      </w:pPr>
      <w:r>
        <w:t>9.1 Primeiro acesso</w:t>
      </w:r>
    </w:p>
    <w:p>
      <w:pPr>
        <w:numPr>
          <w:ilvl w:val="0"/>
          <w:numId w:val="17"/>
        </w:numPr>
        <w:spacing w:after="160" w:line="280" w:lineRule="auto"/>
        <w:ind w:left="720" w:hanging="360"/>
      </w:pPr>
      <w:r>
        <w:t>Localizar ExternalIdentity por issuer + sub.</w:t>
      </w:r>
    </w:p>
    <w:p>
      <w:pPr>
        <w:numPr>
          <w:ilvl w:val="0"/>
          <w:numId w:val="17"/>
        </w:numPr>
        <w:spacing w:after="160" w:line="280" w:lineRule="auto"/>
        <w:ind w:left="720" w:hanging="360"/>
      </w:pPr>
      <w:r>
        <w:t>Se não existir, verificar email_verified, domínio permitido e política de auto provisionamento.</w:t>
      </w:r>
    </w:p>
    <w:p>
      <w:pPr>
        <w:numPr>
          <w:ilvl w:val="0"/>
          <w:numId w:val="17"/>
        </w:numPr>
        <w:spacing w:after="160" w:line="280" w:lineRule="auto"/>
        <w:ind w:left="720" w:hanging="360"/>
      </w:pPr>
      <w:r>
        <w:t>Associar a usuário existente somente sob política explícita; em conflito, interromper e exigir revisão administrativa.</w:t>
      </w:r>
    </w:p>
    <w:p>
      <w:pPr>
        <w:numPr>
          <w:ilvl w:val="0"/>
          <w:numId w:val="17"/>
        </w:numPr>
        <w:spacing w:after="160" w:line="280" w:lineRule="auto"/>
        <w:ind w:left="720" w:hanging="360"/>
      </w:pPr>
      <w:r>
        <w:t>Criar usuário local quando permitido.</w:t>
      </w:r>
    </w:p>
    <w:p>
      <w:pPr>
        <w:numPr>
          <w:ilvl w:val="0"/>
          <w:numId w:val="17"/>
        </w:numPr>
        <w:spacing w:after="160" w:line="280" w:lineRule="auto"/>
        <w:ind w:left="720" w:hanging="360"/>
      </w:pPr>
      <w:r>
        <w:t>Criar ou validar participação na organização e aplicar o papel padrão de menor privilégio.</w:t>
      </w:r>
    </w:p>
    <w:p>
      <w:pPr>
        <w:numPr>
          <w:ilvl w:val="0"/>
          <w:numId w:val="17"/>
        </w:numPr>
        <w:spacing w:after="160" w:line="280" w:lineRule="auto"/>
        <w:ind w:left="720" w:hanging="360"/>
      </w:pPr>
      <w:r>
        <w:t>Registrar evento de auditoria com issuer, subject, user_id e organization_id, sem tokens.</w:t>
      </w:r>
    </w:p>
    <w:p>
      <w:pPr>
        <w:pStyle w:val="Heading2"/>
      </w:pPr>
      <w:r>
        <w:t>9.2 Roles e grupos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0"/>
            </w:pPr>
            <w:r>
              <w:rPr>
                <w:b/>
                <w:color w:val="17324D"/>
              </w:rPr>
              <w:t xml:space="preserve">Princípio: </w:t>
            </w:r>
            <w:r>
              <w:t>Autenticação é delegada ao Keycloak; autorização de cursos e administração permanece na aplicação.</w:t>
            </w:r>
          </w:p>
        </w:tc>
      </w:tr>
    </w:tbl>
    <w:p>
      <w:pPr>
        <w:spacing w:after="0"/>
      </w:pP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t>Não transformar automaticamente realm roles em papéis administrativos locais.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t>Criar uma tabela de mapeamento permitida por organização quando o requisito surgir.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t>Aplicar allowlist de grupos e papéis de destino.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t>Papéis removidos no Keycloak devem ser reconciliados por login/refresh ou rotina controlada.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t>Contas sem mapeamento recebem o papel padrão de menor privilégio.</w:t>
      </w:r>
    </w:p>
    <w:p>
      <w:pPr>
        <w:pStyle w:val="Heading1"/>
      </w:pPr>
      <w:r>
        <w:t>10. Identidade visual do fork</w:t>
      </w:r>
    </w:p>
    <w:p>
      <w:r>
        <w:t>A interface será rebatizada integralmente para evitar confusão com o produto e a marca originais. A atribuição ao projeto de origem será mantida no código, na licença, no README e em uma área jurídica discreta, sem uso promocional do nome ou logo LearnHouse.</w:t>
      </w:r>
    </w:p>
    <w:p>
      <w:pPr>
        <w:pStyle w:val="Heading2"/>
      </w:pPr>
      <w:r>
        <w:t>10.1 Definições necessárias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Elemento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Decisão a produzir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Critério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Nome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Nome principal e alternativa de contingência.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Disponibilidade de domínio e pesquisa de marca.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Versões horizontal, símbolo, monocromática e reduzida.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Legibilidade em 16 px e fundos claro/escuro.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Paleta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Cores primária, secundária, neutras e semânticas.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Contraste WCAG AA.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Tipografia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Famílias para interface e comunicação.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Licença adequada e boa renderização web.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Iconografia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Sistema e regras de uso.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Consistência com componentes existentes.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Tom de voz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Vocabulário de produto, erros e onboarding.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Português claro e terminologia consistente.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Assets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Favicon, app icons, OG images, e-mails e documentos.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Nenhum asset original permanece visível.</w:t>
            </w:r>
          </w:p>
        </w:tc>
      </w:tr>
    </w:tbl>
    <w:p>
      <w:pPr>
        <w:spacing w:after="0"/>
      </w:pPr>
    </w:p>
    <w:p>
      <w:pPr>
        <w:pStyle w:val="Heading2"/>
      </w:pPr>
      <w:r>
        <w:t>10.2 Inventário de rebranding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t>Cabeçalhos, menus, tela inicial, login, cadastro, recuperação de senha e MFA.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t>Favicon, manifest, metadados, Open Graph, splash e imagens sociais.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t>Templates de e-mail, remetente, assunto, rodapé e links de suporte.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t>Painel administrativo, mensagens de erro, páginas 404/500 e modo manutenção.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t>Documentação, README do fork, exemplos, screenshots e materiais de implantação.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t>Nomes de imagens Docker, pacotes publicados e endpoints apresentados ao usuário.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t>Textos de privacidade, termos, suporte e política de segurança próprios.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t>Telemetria, analytics, Sentry e nomes de projeto em integrações externas.</w:t>
      </w:r>
    </w:p>
    <w:p>
      <w:pPr>
        <w:pStyle w:val="Heading2"/>
      </w:pPr>
      <w:r>
        <w:t>10.3 Compatibilidade técnica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Item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Primeiro release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Evolução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Cookies LH_*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Manter para evitar quebra de sessões.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Migrar com leitura dupla e expiração controlada.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Variáveis LEARNHOUSE_*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Manter como compatibilidade.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Criar aliases da nova marca e emitir aviso de depreciação.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Tabelas e colunas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Não renomear sem necessidade.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Somente com migração e ganho claro.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Diretórios apps/web e apps/api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Manter.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Sem necessidade de mudança.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Nomes visíveis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Substituir integralmente.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Auditoria automatizada a cada release.</w:t>
            </w:r>
          </w:p>
        </w:tc>
      </w:tr>
    </w:tbl>
    <w:p>
      <w:pPr>
        <w:spacing w:after="0"/>
      </w:pPr>
    </w:p>
    <w:p>
      <w:pPr>
        <w:pStyle w:val="Heading1"/>
      </w:pPr>
      <w:r>
        <w:t>11. Licenciamento e atribuição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spacing w:after="0"/>
            </w:pPr>
            <w:r>
              <w:rPr>
                <w:b/>
                <w:color w:val="17324D"/>
              </w:rPr>
              <w:t xml:space="preserve">Nota: </w:t>
            </w:r>
            <w:r>
              <w:t>Esta seção orienta o planejamento técnico e não substitui parecer jurídico. A operação comercial deverá validar o modelo final com profissional especializado em software livre e marcas.</w:t>
            </w:r>
          </w:p>
        </w:tc>
      </w:tr>
    </w:tbl>
    <w:p>
      <w:pPr>
        <w:spacing w:after="0"/>
      </w:pP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t>Preservar a AGPL-3.0, avisos de copyright e histórico de modificações aplicáveis.</w:t>
      </w: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t>Marcar o fork como independente, não afiliado e não patrocinado pela LearnHouse, Inc.</w:t>
      </w: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t>Não usar o nome ou o logo LearnHouse na identidade comercial do novo produto.</w:t>
      </w: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t>Disponibilizar gratuitamente o código-fonte correspondente aos usuários remotos da versão modificada.</w:t>
      </w: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t>Incluir scripts necessários para gerar, instalar e executar a versão entregue, sem segredos operacionais.</w:t>
      </w: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t>Manter um link visível “Código-fonte” ou “Licença” na aplicação.</w:t>
      </w: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t>Não acessar, copiar, desbloquear ou redistribuir código do módulo Enterprise sem licença própria.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Cenário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Forma recomendada de disponibilização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Uso interno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Repositório ou pacote acessível aos usuários internos autorizados.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Clientes identificados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Portal autenticado ou repositório acessível a todos os clientes usuários.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SaaS público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Repositório público ou download público da versão correspondente.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Imagem Docker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Código correspondente e instruções de build junto à distribuição.</w:t>
            </w:r>
          </w:p>
        </w:tc>
      </w:tr>
    </w:tbl>
    <w:p>
      <w:pPr>
        <w:spacing w:after="0"/>
      </w:pPr>
    </w:p>
    <w:p>
      <w:pPr>
        <w:pStyle w:val="Heading1"/>
      </w:pPr>
      <w:r>
        <w:t>12. Estratégia de desenvolvimento</w:t>
      </w:r>
    </w:p>
    <w:p>
      <w:pPr>
        <w:pStyle w:val="Heading2"/>
      </w:pPr>
      <w:r>
        <w:t>12.1 Organização do fork</w:t>
      </w:r>
    </w:p>
    <w:p>
      <w:pPr>
        <w:numPr>
          <w:ilvl w:val="0"/>
          <w:numId w:val="21"/>
        </w:numPr>
        <w:spacing w:after="160" w:line="280" w:lineRule="auto"/>
        <w:ind w:left="720" w:hanging="360"/>
      </w:pPr>
      <w:r>
        <w:t>Manter remote upstream apontando para learnhouse/learnhouse e origin para o fork.</w:t>
      </w:r>
    </w:p>
    <w:p>
      <w:pPr>
        <w:numPr>
          <w:ilvl w:val="0"/>
          <w:numId w:val="21"/>
        </w:numPr>
        <w:spacing w:after="160" w:line="280" w:lineRule="auto"/>
        <w:ind w:left="720" w:hanging="360"/>
      </w:pPr>
      <w:r>
        <w:t>Separar rebranding, autenticação e hardening em branches e pull requests independentes.</w:t>
      </w:r>
    </w:p>
    <w:p>
      <w:pPr>
        <w:numPr>
          <w:ilvl w:val="0"/>
          <w:numId w:val="21"/>
        </w:numPr>
        <w:spacing w:after="160" w:line="280" w:lineRule="auto"/>
        <w:ind w:left="720" w:hanging="360"/>
      </w:pPr>
      <w:r>
        <w:t>Registrar decisões relevantes em ADRs versionados.</w:t>
      </w:r>
    </w:p>
    <w:p>
      <w:pPr>
        <w:numPr>
          <w:ilvl w:val="0"/>
          <w:numId w:val="21"/>
        </w:numPr>
        <w:spacing w:after="160" w:line="280" w:lineRule="auto"/>
        <w:ind w:left="720" w:hanging="360"/>
      </w:pPr>
      <w:r>
        <w:t>Evitar alterações cosméticas em arquivos centrais sem necessidade para reduzir conflitos de merge.</w:t>
      </w:r>
    </w:p>
    <w:p>
      <w:pPr>
        <w:numPr>
          <w:ilvl w:val="0"/>
          <w:numId w:val="21"/>
        </w:numPr>
        <w:spacing w:after="160" w:line="280" w:lineRule="auto"/>
        <w:ind w:left="720" w:hanging="360"/>
      </w:pPr>
      <w:r>
        <w:t>Criar testes de regressão antes de alterar o AuthContext e o proxy de cookies.</w:t>
      </w:r>
    </w:p>
    <w:p>
      <w:pPr>
        <w:numPr>
          <w:ilvl w:val="0"/>
          <w:numId w:val="21"/>
        </w:numPr>
        <w:spacing w:after="160" w:line="280" w:lineRule="auto"/>
        <w:ind w:left="720" w:hanging="360"/>
      </w:pPr>
      <w:r>
        <w:t>Automatizar busca por nome, domínio e assets da marca original no pipeline.</w:t>
      </w:r>
    </w:p>
    <w:p>
      <w:pPr>
        <w:pStyle w:val="Heading2"/>
      </w:pPr>
      <w:r>
        <w:t>12.2 Política de atualização upstream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t>Acompanhar releases e avisos de segurança do projeto original.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t>Atualizar uma branch de integração com o upstream.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t>Executar testes de autenticação, autorização, cookies e rebranding.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t>Resolver conflitos preservando os ADRs e contratos do fork.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t>Publicar nova versão do código-fonte correspondente junto ao deploy.</w:t>
      </w:r>
    </w:p>
    <w:p>
      <w:pPr>
        <w:pStyle w:val="Heading1"/>
      </w:pPr>
      <w:r>
        <w:t>13. Roteiro de implementação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160"/>
        <w:gridCol w:w="2450"/>
        <w:gridCol w:w="2500"/>
      </w:tblGrid>
      <w:tr>
        <w:trPr>
          <w:tblHeader w:val="true"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Fase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Entregáveis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Dependências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Saída para aprovação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 — Descoberta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Inventário, versão-base, requisitos, marca provisória e ADRs.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Acesso ao ambiente e decisão de escopo.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Arquitetura e backlog aprovados.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 — Fundação OIDC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Config Keycloak, discovery, state/nonce/PKCE, authorize e callback server-side.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Realm e domínios de desenvolvimento.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Login técnico validado.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 — Identidade e sessão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ExternalIdentity, linking, provisioning, cookies, refresh e auditoria.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Migração de banco e chaves criptográficas.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Sessão completa sem tokens no browser.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 — Logout e governança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RP logout, back-channel, revogação, políticas e observabilidade.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sid, URLs de logout e Redis.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Revogação dentro do SLA.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 — Rebranding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Nome, logo, tokens visuais, assets, textos, e-mails e páginas legais.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Marca aprovada e kit visual.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Interface sem identidade original visível.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 — Qualidade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Testes E2E, segurança, acessibilidade, desempenho e atualização upstream.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Ambiente homologação.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Relatório de homologação.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 — Produção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Runbook, backup, rollback, monitoramento, fonte da release e deploy.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Aprovação técnica/jurídica.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Go-live controlado.</w:t>
            </w:r>
          </w:p>
        </w:tc>
      </w:tr>
    </w:tbl>
    <w:p>
      <w:pPr>
        <w:spacing w:after="0"/>
      </w:pPr>
    </w:p>
    <w:p>
      <w:pPr>
        <w:pStyle w:val="Heading1"/>
      </w:pPr>
      <w:r>
        <w:t>14. Backlog priorizado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550"/>
        <w:gridCol w:w="461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Prioridade</w:t>
            </w:r>
          </w:p>
        </w:tc>
        <w:tc>
          <w:tcPr>
            <w:tcW w:type="dxa" w:w="3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Item</w:t>
            </w:r>
          </w:p>
        </w:tc>
        <w:tc>
          <w:tcPr>
            <w:tcW w:type="dxa" w:w="46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Definição de pronto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Congelar versão-base e criar ADRs.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Commit, upstream e decisões registrados.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Callback BFF server-side.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Nenhum refresh token aparece em resposta acessível ao JavaScript.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Validador OIDC completo.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Todos os claims e assinatura possuem testes positivos e negativos.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ExternalIdentity e linking seguro.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Unicidade issuer+sub e regras de e-mail verificado ativas.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Cookies e rotação de sessão.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Login, refresh concorrente e logout passam nos testes.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Refresh upstream e back-channel logout.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Revogação Keycloak encerra sessão local.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Administração da configuração OIDC.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Segredo mascarado e validação SSRF implementada.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Rebranding completo.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Auditoria automatizada não encontra marca visível residual.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Oferta do código-fonte.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Link acessível e pacote corresponde à release implantada.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Mapeamento controlado de grupos.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Allowlist e testes de menor privilégio.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Renomeação gradual de cookies e env vars.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Compatibilidade por período de transição.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SCIM ou sincronização administrativa.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Requisito e modelo operacional formalizados.</w:t>
            </w:r>
          </w:p>
        </w:tc>
      </w:tr>
    </w:tbl>
    <w:p>
      <w:pPr>
        <w:spacing w:after="0"/>
      </w:pPr>
    </w:p>
    <w:p>
      <w:pPr>
        <w:pStyle w:val="Heading1"/>
      </w:pPr>
      <w:r>
        <w:t>15. Plano de testes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Categoria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Casos mínimos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OIDC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Login válido, state inválido/reutilizado, nonce incorreto, código expirado, issuer/audience incorretos e rotação de chave.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Provisionamento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Usuário novo, existente, e-mail não verificado, domínio proibido, auto provisionamento desligado e conflito de identidade.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Sessão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Refresh simples, concorrente, expiração, revogação, falha transitória, múltiplas abas e múltiplos dispositivos.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Logout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Local, RP-Initiated, back-channel, retorno seguro e limpeza de cookies duplicados.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Autorização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Usuário comum, instrutor, administrador, ausência de papel e tentativa de elevação por claim.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Segurança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SSRF, open redirect, CSRF, XSS, segredo em logs, cache indevido, rate limit e replay.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Rebranding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Busca textual, assets, e-mails, metadados, favicon, erros, documentos e integrações externas.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Licença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LICENSE preservada, avisos mantidos, link de fonte e pacote correspondente à release.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Atualização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Merge de upstream, migração, rollback e compatibilidade de cookies/env vars.</w:t>
            </w:r>
          </w:p>
        </w:tc>
      </w:tr>
    </w:tbl>
    <w:p>
      <w:pPr>
        <w:spacing w:after="0"/>
      </w:pPr>
    </w:p>
    <w:p>
      <w:pPr>
        <w:pStyle w:val="Heading1"/>
      </w:pPr>
      <w:r>
        <w:t>16. Observabilidade e operação</w:t>
      </w:r>
    </w:p>
    <w:p>
      <w:pPr>
        <w:numPr>
          <w:ilvl w:val="0"/>
          <w:numId w:val="23"/>
        </w:numPr>
        <w:spacing w:after="160" w:line="280" w:lineRule="auto"/>
        <w:ind w:left="720" w:hanging="360"/>
      </w:pPr>
      <w:r>
        <w:t>Métricas: tentativas, sucessos, falhas por código, latência de discovery/token/userinfo e refresh.</w:t>
      </w:r>
    </w:p>
    <w:p>
      <w:pPr>
        <w:numPr>
          <w:ilvl w:val="0"/>
          <w:numId w:val="23"/>
        </w:numPr>
        <w:spacing w:after="160" w:line="280" w:lineRule="auto"/>
        <w:ind w:left="720" w:hanging="360"/>
      </w:pPr>
      <w:r>
        <w:t>Eventos: authorize, callback, linking, provisioning, refresh, replay, revogação e logout.</w:t>
      </w:r>
    </w:p>
    <w:p>
      <w:pPr>
        <w:numPr>
          <w:ilvl w:val="0"/>
          <w:numId w:val="23"/>
        </w:numPr>
        <w:spacing w:after="160" w:line="280" w:lineRule="auto"/>
        <w:ind w:left="720" w:hanging="360"/>
      </w:pPr>
      <w:r>
        <w:t>Alertas: aumento de invalid_state, invalid_grant, falha JWKS, erro de callback e refresh rejeitado.</w:t>
      </w:r>
    </w:p>
    <w:p>
      <w:pPr>
        <w:numPr>
          <w:ilvl w:val="0"/>
          <w:numId w:val="23"/>
        </w:numPr>
        <w:spacing w:after="160" w:line="280" w:lineRule="auto"/>
        <w:ind w:left="720" w:hanging="360"/>
      </w:pPr>
      <w:r>
        <w:t>Logs estruturados sem code, access_token, refresh_token, client_secret ou dados pessoais desnecessários.</w:t>
      </w:r>
    </w:p>
    <w:p>
      <w:pPr>
        <w:numPr>
          <w:ilvl w:val="0"/>
          <w:numId w:val="23"/>
        </w:numPr>
        <w:spacing w:after="160" w:line="280" w:lineRule="auto"/>
        <w:ind w:left="720" w:hanging="360"/>
      </w:pPr>
      <w:r>
        <w:t>Runbook para indisponibilidade do Keycloak, rotação de segredo, rotação de chave e rollback.</w:t>
      </w:r>
    </w:p>
    <w:p>
      <w:pPr>
        <w:numPr>
          <w:ilvl w:val="0"/>
          <w:numId w:val="23"/>
        </w:numPr>
        <w:spacing w:after="160" w:line="280" w:lineRule="auto"/>
        <w:ind w:left="720" w:hanging="360"/>
      </w:pPr>
      <w:r>
        <w:t>Dashboard distinguindo falha transitória de credencial definitivamente inválida.</w:t>
      </w:r>
    </w:p>
    <w:p>
      <w:pPr>
        <w:pStyle w:val="Heading1"/>
      </w:pPr>
      <w:r>
        <w:t>17. Riscos e mitigações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400"/>
        <w:gridCol w:w="5160"/>
      </w:tblGrid>
      <w:tr>
        <w:trPr>
          <w:tblHeader w:val="true"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Risco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Impacto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Mitigação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Sessão local sobrevive à revogação upstream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Alto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Refresh upstream, back-channel logout e TTL máximo definido.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Conflito com atualizações upstream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Médio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Mudanças isoladas, ADRs, testes e renomeação técnica gradual.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Vazamento de segredo OIDC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Alto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Criptografia, mascaramento, rotação e proibição em logs/respostas.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Associação indevida por e-mail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Alto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email_verified, issuer+sub, política e revisão de conflito.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Confusão com marca original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Médio/alto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Rebranding completo e declaração de independência.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Não conformidade AGPL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Alto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Fonte da release, link visível, processo no CI/CD e revisão jurídica.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Dependência excessiva do Keycloak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Médio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Timeouts, retries controlados, observabilidade e runbook de indisponibilidade.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Duplo MFA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Médio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Keycloak governa MFA para SSO; aplicação registra amr=sso sem desafio local redundante.</w:t>
            </w:r>
          </w:p>
        </w:tc>
      </w:tr>
    </w:tbl>
    <w:p>
      <w:pPr>
        <w:spacing w:after="0"/>
      </w:pPr>
    </w:p>
    <w:p>
      <w:pPr>
        <w:pStyle w:val="Heading1"/>
      </w:pPr>
      <w:r>
        <w:t>18. Critérios de aceite do primeiro release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t>Login por Keycloak funcional em desenvolvimento, homologação e produção.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t>Authorization Code Flow com PKCE S256, state e nonce de uso único.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t>Nenhum refresh token acessível ao JavaScript ou armazenado em localStorage/sessionStorage.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t>Identidade externa persistida por issuer + sub.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t>Provisionamento respeita e-mail verificado, domínio, organização e papel padrão.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t>A autorização existente de cursos e administração não apresenta regressão.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t>Logout encerra sessão local e SSO conforme política definida.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t>Segredos não aparecem em API, interface, bundle, logs ou telemetria.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t>Identidade visual original não aparece na experiência do usuário.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t>Licença, atribuição e acesso ao código-fonte correspondente estão disponíveis.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t>Testes E2E, segurança, acessibilidade e rollback aprovados.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t>Runbook e responsáveis operacionais definidos antes do go-live.</w:t>
      </w:r>
    </w:p>
    <w:p>
      <w:pPr>
        <w:pStyle w:val="Heading1"/>
      </w:pPr>
      <w:r>
        <w:t>19. Decisões pendentes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900"/>
        <w:gridCol w:w="2460"/>
      </w:tblGrid>
      <w:tr>
        <w:trPr>
          <w:tblHeader w:val="true"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Decisão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Opções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Responsável sugerido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Nome final do produto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Três candidatos após pesquisa de domínio e marca.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Produto/Jurídico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Modelo de implantação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Interno, clientes identificados ou SaaS público.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Negócio/Arquitetura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Topologia Keycloak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Realm dedicado ou realm corporativo compartilhado.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Segurança/Infra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Política de provisionamento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Automático, convite prévio ou híbrido.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Produto/Segurança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SLA de revogação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Imediato por back-channel ou janela curta por refresh.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Segurança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Mapeamento de grupos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Sem mapeamento inicial ou allowlist controlada.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Produto/Segurança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Disponibilização da fonte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Repositório público ou portal autenticado.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Jurídico/DevOps</w:t>
            </w:r>
          </w:p>
        </w:tc>
      </w:tr>
    </w:tbl>
    <w:p>
      <w:pPr>
        <w:spacing w:after="0"/>
      </w:pPr>
    </w:p>
    <w:p>
      <w:pPr>
        <w:pStyle w:val="Heading1"/>
      </w:pPr>
      <w:r>
        <w:t>20. Próximos passos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t>Definir o nome provisório e o modelo de implantação do produto.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t>Fixar o commit ou release do LearnHouse que servirá como base do fork.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t>Criar ADR-01 a ADR-07 e abrir o backlog técnico em épicos.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t>Provisionar Keycloak de desenvolvimento e cadastrar o cliente OIDC.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t>Implementar um spike do callback server-side com PKCE e sessão local.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t>Validar linking e provisioning com uma organização e usuários de teste.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t>Aprovar o kit visual e iniciar a substituição dos assets visíveis.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t>Definir o processo de publicação do código-fonte correspondente à release.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t>Executar revisão de segurança e jurídica antes de homologação externa.</w:t>
      </w:r>
    </w:p>
    <w:p>
      <w:pPr>
        <w:pStyle w:val="Heading1"/>
      </w:pPr>
      <w:r>
        <w:t>Apêndice A — Referências</w:t>
      </w:r>
    </w:p>
    <w:p>
      <w:pPr>
        <w:pStyle w:val="ListBullet"/>
      </w:pPr>
      <w:hyperlink r:id="rId11">
        <w:r>
          <w:rPr>
            <w:color w:val="2E74B5"/>
            <w:u w:val="single"/>
          </w:rPr>
          <w:t>Repositório LearnHouse</w:t>
        </w:r>
      </w:hyperlink>
    </w:p>
    <w:p>
      <w:pPr>
        <w:pStyle w:val="ListBullet"/>
      </w:pPr>
      <w:hyperlink r:id="rId12">
        <w:r>
          <w:rPr>
            <w:color w:val="2E74B5"/>
            <w:u w:val="single"/>
          </w:rPr>
          <w:t>Licença AGPL-3.0 do LearnHouse</w:t>
        </w:r>
      </w:hyperlink>
    </w:p>
    <w:p>
      <w:pPr>
        <w:pStyle w:val="ListBullet"/>
      </w:pPr>
      <w:hyperlink r:id="rId13">
        <w:r>
          <w:rPr>
            <w:color w:val="2E74B5"/>
            <w:u w:val="single"/>
          </w:rPr>
          <w:t>Arquitetura de autenticação do backend</w:t>
        </w:r>
      </w:hyperlink>
    </w:p>
    <w:p>
      <w:pPr>
        <w:pStyle w:val="ListBullet"/>
      </w:pPr>
      <w:hyperlink r:id="rId14">
        <w:r>
          <w:rPr>
            <w:color w:val="2E74B5"/>
            <w:u w:val="single"/>
          </w:rPr>
          <w:t>Emissão de sessões internas</w:t>
        </w:r>
      </w:hyperlink>
    </w:p>
    <w:p>
      <w:pPr>
        <w:pStyle w:val="ListBullet"/>
      </w:pPr>
      <w:hyperlink r:id="rId15">
        <w:r>
          <w:rPr>
            <w:color w:val="2E74B5"/>
            <w:u w:val="single"/>
          </w:rPr>
          <w:t>Contexto de autenticação do frontend</w:t>
        </w:r>
      </w:hyperlink>
    </w:p>
    <w:p>
      <w:pPr>
        <w:pStyle w:val="ListBullet"/>
      </w:pPr>
      <w:hyperlink r:id="rId16">
        <w:r>
          <w:rPr>
            <w:color w:val="2E74B5"/>
            <w:u w:val="single"/>
          </w:rPr>
          <w:t>Proxy de autenticação Next.js</w:t>
        </w:r>
      </w:hyperlink>
    </w:p>
    <w:p>
      <w:pPr>
        <w:pStyle w:val="ListBullet"/>
      </w:pPr>
      <w:hyperlink r:id="rId17">
        <w:r>
          <w:rPr>
            <w:color w:val="2E74B5"/>
            <w:u w:val="single"/>
          </w:rPr>
          <w:t>Documentação OIDC do Keycloak</w:t>
        </w:r>
      </w:hyperlink>
    </w:p>
    <w:p>
      <w:pPr>
        <w:pStyle w:val="ListBullet"/>
      </w:pPr>
      <w:hyperlink r:id="rId18">
        <w:r>
          <w:rPr>
            <w:color w:val="2E74B5"/>
            <w:u w:val="single"/>
          </w:rPr>
          <w:t>Administração e logout OIDC do Keycloak</w:t>
        </w:r>
      </w:hyperlink>
    </w:p>
    <w:p>
      <w:pPr>
        <w:pStyle w:val="ListBullet"/>
      </w:pPr>
      <w:hyperlink r:id="rId19">
        <w:r>
          <w:rPr>
            <w:color w:val="2E74B5"/>
            <w:u w:val="single"/>
          </w:rPr>
          <w:t>Licença Apache-2.0 do Keycloak</w:t>
        </w:r>
      </w:hyperlink>
    </w:p>
    <w:p>
      <w:pPr>
        <w:pStyle w:val="ListBullet"/>
      </w:pPr>
      <w:hyperlink r:id="rId20">
        <w:r>
          <w:rPr>
            <w:color w:val="2E74B5"/>
            <w:u w:val="single"/>
          </w:rPr>
          <w:t>Termos e marca LearnHouse</w:t>
        </w:r>
      </w:hyperlink>
    </w:p>
    <w:p>
      <w:pPr>
        <w:pStyle w:val="Heading1"/>
      </w:pPr>
      <w:r>
        <w:t>Apêndice B — Glossário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Termo</w:t>
            </w:r>
          </w:p>
        </w:tc>
        <w:tc>
          <w:tcPr>
            <w:tcW w:type="dxa" w:w="7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24D"/>
              </w:rPr>
              <w:t>Definição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BFF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Backend-for-Frontend que processa operações sensíveis e mantém tokens fora do JavaScript.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OIDC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Camada de identidade baseada em OAuth 2.0.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PKCE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Proteção que vincula o código de autorização ao cliente que iniciou o fluxo.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Issuer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Identificador do provedor que emitiu a identidade/token.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Subject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Identificador estável do usuário dentro do issuer, claim sub.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JWKS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Conjunto de chaves públicas usado para validar assinaturas dos tokens.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RP-Initiated Logout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Logout OIDC iniciado pela aplicação cliente.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Back-channel logout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Notificação servidor-servidor para revogação coordenada de sessão.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AGPL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Licença copyleft de rede que exige oferta do código correspondente aos usuários remotos.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Upstream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Repositório original do qual o fork recebe correções e evoluções.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color w:val="667085"/>
        <w:sz w:val="17"/>
      </w:rP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PLANO TÉCNICO  |  FORK, KEYCLOAK E IDENTIDADE VISUAL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earnhouse/learnhouse" TargetMode="External"/><Relationship Id="rId12" Type="http://schemas.openxmlformats.org/officeDocument/2006/relationships/hyperlink" Target="https://github.com/learnhouse/learnhouse/blob/dev/LICENSE" TargetMode="External"/><Relationship Id="rId13" Type="http://schemas.openxmlformats.org/officeDocument/2006/relationships/hyperlink" Target="https://github.com/learnhouse/learnhouse/blob/dev/apps/api/src/security/auth.py" TargetMode="External"/><Relationship Id="rId14" Type="http://schemas.openxmlformats.org/officeDocument/2006/relationships/hyperlink" Target="https://github.com/learnhouse/learnhouse/blob/dev/apps/api/src/services/auth/session.py" TargetMode="External"/><Relationship Id="rId15" Type="http://schemas.openxmlformats.org/officeDocument/2006/relationships/hyperlink" Target="https://github.com/learnhouse/learnhouse/blob/dev/apps/web/components/Contexts/AuthContext.tsx" TargetMode="External"/><Relationship Id="rId16" Type="http://schemas.openxmlformats.org/officeDocument/2006/relationships/hyperlink" Target="https://github.com/learnhouse/learnhouse/blob/dev/apps/web/app/api/auth/%5B...path%5D/route.ts" TargetMode="External"/><Relationship Id="rId17" Type="http://schemas.openxmlformats.org/officeDocument/2006/relationships/hyperlink" Target="https://www.keycloak.org/securing-apps/oidc-layers" TargetMode="External"/><Relationship Id="rId18" Type="http://schemas.openxmlformats.org/officeDocument/2006/relationships/hyperlink" Target="https://www.keycloak.org/docs/latest/server_admin/" TargetMode="External"/><Relationship Id="rId19" Type="http://schemas.openxmlformats.org/officeDocument/2006/relationships/hyperlink" Target="https://github.com/keycloak/keycloak/blob/main/LICENSE.txt" TargetMode="External"/><Relationship Id="rId20" Type="http://schemas.openxmlformats.org/officeDocument/2006/relationships/hyperlink" Target="https://www.learnhouse.app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Implementação do Fork — Keycloak e Identidade Visual</dc:title>
  <dc:subject>Planejamento técnico, segurança, rebranding e conformidade AGPL</dc:subject>
  <dc:creator>Equipe de Planejamento</dc:creator>
  <cp:keywords>Keycloak, OIDC, fork, identidade visual, AGPL</cp:keywords>
  <dc:description>Documento base para planejamento da implementação.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