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0"/>
      </w:pPr>
      <w:r>
        <w:rPr>
          <w:rFonts w:ascii="Calibri" w:hAnsi="Calibri"/>
          <w:b/>
          <w:color w:val="2457D6"/>
          <w:sz w:val="22"/>
        </w:rPr>
        <w:t xml:space="preserve">ChargeFlow</w:t>
      </w:r>
    </w:p>
    <w:p>
      <w:pPr>
        <w:spacing w:after="60"/>
      </w:pPr>
      <w:r>
        <w:rPr>
          <w:rFonts w:ascii="Calibri" w:hAnsi="Calibri"/>
          <w:b/>
          <w:color w:val="171A20"/>
          <w:sz w:val="48"/>
        </w:rPr>
        <w:t xml:space="preserve">Field findings from Varanasi</w:t>
      </w:r>
    </w:p>
    <w:p>
      <w:pPr>
        <w:spacing w:after="200"/>
      </w:pPr>
      <w:r>
        <w:rPr>
          <w:rFonts w:ascii="Calibri" w:hAnsi="Calibri"/>
          <w:color w:val="4A4F57"/>
          <w:sz w:val="22"/>
        </w:rPr>
        <w:t xml:space="preserve">What nine e-rickshaw drivers told us, with the charts behind it. SHIFT Hackathon, IIT (BHU) Varanasi.  ·  [Team name]  ·  [Member names]</w:t>
      </w:r>
    </w:p>
    <w:p>
      <w:pPr>
        <w:spacing w:after="40"/>
      </w:pPr>
      <w:r>
        <w:rPr>
          <w:rFonts w:ascii="Calibri" w:hAnsi="Calibri"/>
          <w:b/>
          <w:color w:val="171A20"/>
          <w:sz w:val="22"/>
        </w:rPr>
        <w:t xml:space="preserve">How to read this document</w:t>
      </w:r>
    </w:p>
    <w:p>
      <w:pPr>
        <w:spacing w:after="200"/>
      </w:pPr>
      <w:r>
        <w:rPr>
          <w:rFonts w:ascii="Calibri" w:hAnsi="Calibri"/>
          <w:color w:val="4A4F57"/>
          <w:sz w:val="21"/>
        </w:rPr>
        <w:t xml:space="preserve">FIELD DATA is what drivers told us. DERIVED is calculated from that data. SIMULATED comes from our ChargeFlow model and is not a field measurement. Figures from drivers are approximate and were collected in one visit.</w:t>
      </w:r>
    </w:p>
    <w:tbl>
      <w:tblPr>
        <w:tblW w:w="9906" w:type="dxa"/>
        <w:tblLayout w:type="fixed"/>
      </w:tblPr>
      <w:tblGrid>
        <w:gridCol w:w="2476"/>
        <w:gridCol w:w="2476"/>
        <w:gridCol w:w="2476"/>
        <w:gridCol w:w="2476"/>
      </w:tblGrid>
      <w:tr>
        <w:tc>
          <w:tcPr>
            <w:tcW w:w="2476" w:type="dxa"/>
            <w:shd w:val="clear" w:color="auto" w:fill="F7F5F0"/>
            <w:tcBorders>
              <w:left w:val="single" w:sz="18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457D6"/>
                <w:sz w:val="44"/>
              </w:rPr>
              <w:t xml:space="preserve">9</w:t>
            </w:r>
          </w:p>
          <w:p>
            <w:pPr>
              <w:spacing w:after="60"/>
            </w:pPr>
            <w:r>
              <w:rPr>
                <w:rFonts w:ascii="Calibri" w:hAnsi="Calibri"/>
                <w:color w:val="4A4F57"/>
                <w:sz w:val="18"/>
              </w:rPr>
              <w:t xml:space="preserve">drivers, A to I, in Varanasi</w:t>
            </w:r>
          </w:p>
        </w:tc>
        <w:tc>
          <w:tcPr>
            <w:tcW w:w="2476" w:type="dxa"/>
            <w:shd w:val="clear" w:color="auto" w:fill="F7F5F0"/>
            <w:tcBorders>
              <w:left w:val="single" w:sz="18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457D6"/>
                <w:sz w:val="44"/>
              </w:rPr>
              <w:t xml:space="preserve">7 of 9</w:t>
            </w:r>
          </w:p>
          <w:p>
            <w:pPr>
              <w:spacing w:after="60"/>
            </w:pPr>
            <w:r>
              <w:rPr>
                <w:rFonts w:ascii="Calibri" w:hAnsi="Calibri"/>
                <w:color w:val="4A4F57"/>
                <w:sz w:val="18"/>
              </w:rPr>
              <w:t xml:space="preserve">rent the vehicle by the day</w:t>
            </w:r>
          </w:p>
        </w:tc>
        <w:tc>
          <w:tcPr>
            <w:tcW w:w="2476" w:type="dxa"/>
            <w:shd w:val="clear" w:color="auto" w:fill="F7F5F0"/>
            <w:tcBorders>
              <w:left w:val="single" w:sz="18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457D6"/>
                <w:sz w:val="44"/>
              </w:rPr>
              <w:t xml:space="preserve">₹380–400</w:t>
            </w:r>
          </w:p>
          <w:p>
            <w:pPr>
              <w:spacing w:after="60"/>
            </w:pPr>
            <w:r>
              <w:rPr>
                <w:rFonts w:ascii="Calibri" w:hAnsi="Calibri"/>
                <w:color w:val="4A4F57"/>
                <w:sz w:val="18"/>
              </w:rPr>
              <w:t xml:space="preserve">daily rent, charging included</w:t>
            </w:r>
          </w:p>
        </w:tc>
        <w:tc>
          <w:tcPr>
            <w:tcW w:w="2476" w:type="dxa"/>
            <w:shd w:val="clear" w:color="auto" w:fill="F7F5F0"/>
            <w:tcBorders>
              <w:left w:val="single" w:sz="18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457D6"/>
                <w:sz w:val="44"/>
              </w:rPr>
              <w:t xml:space="preserve">8 at once</w:t>
            </w:r>
          </w:p>
          <w:p>
            <w:pPr>
              <w:spacing w:after="60"/>
            </w:pPr>
            <w:r>
              <w:rPr>
                <w:rFonts w:ascii="Calibri" w:hAnsi="Calibri"/>
                <w:color w:val="4A4F57"/>
                <w:sz w:val="18"/>
              </w:rPr>
              <w:t xml:space="preserve">vehicles charging between 12 am and 8 am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The short version</w:t>
      </w:r>
    </w:p>
    <w:p>
      <w:pPr>
        <w:spacing w:after="80"/>
      </w:pPr>
      <w:r>
        <w:rPr>
          <w:rFonts w:ascii="Calibri" w:hAnsi="Calibri"/>
          <w:sz w:val="22"/>
        </w:rPr>
        <w:t xml:space="preserve">•  The customer is the garage owner. Seven of nine drivers rent by the day and the rent includes charging, so the owner pays the electricity bill.</w:t>
      </w:r>
    </w:p>
    <w:p>
      <w:pPr>
        <w:spacing w:after="80"/>
      </w:pPr>
      <w:r>
        <w:rPr>
          <w:rFonts w:ascii="Calibri" w:hAnsi="Calibri"/>
          <w:sz w:val="22"/>
        </w:rPr>
        <w:t xml:space="preserve">•  Charging overlaps. Six of eight drivers who gave a window start between 11 pm and 1 am and run until 8 to 11 am.</w:t>
      </w:r>
    </w:p>
    <w:p>
      <w:pPr>
        <w:spacing w:after="80"/>
      </w:pPr>
      <w:r>
        <w:rPr>
          <w:rFonts w:ascii="Calibri" w:hAnsi="Calibri"/>
          <w:sz w:val="22"/>
        </w:rPr>
        <w:t xml:space="preserve">•  Electricity and batteries take a large share of the rent: about ₹125 to ₹195 of every ₹400 (a third to a half), derived from the drivers' figures.</w:t>
      </w:r>
    </w:p>
    <w:p>
      <w:pPr>
        <w:spacing w:after="80"/>
      </w:pPr>
      <w:r>
        <w:rPr>
          <w:rFonts w:ascii="Calibri" w:hAnsi="Calibri"/>
          <w:sz w:val="22"/>
        </w:rPr>
        <w:t xml:space="preserve">•  Batteries age fast and no one tracks health. Driver E's pack gives 60 km now against 150 km when new.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1. The drivers we spoke to</w:t>
      </w:r>
    </w:p>
    <w:p>
      <w:pPr>
        <w:keepNext/>
        <w:spacing w:after="60"/>
      </w:pPr>
      <w:r>
        <w:rPr>
          <w:rFonts w:ascii="Calibri" w:hAnsi="Calibri"/>
          <w:b/>
          <w:color w:val="2457D6"/>
          <w:sz w:val="18"/>
        </w:rPr>
        <w:t xml:space="preserve">FIELD DATA  ·  What each driver reported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0"/>
        <w:gridCol w:w="800"/>
        <w:gridCol w:w="1300"/>
        <w:gridCol w:w="1150"/>
        <w:gridCol w:w="1100"/>
        <w:gridCol w:w="1450"/>
        <w:gridCol w:w="3456"/>
      </w:tblGrid>
      <w:tr>
        <w:trPr>
          <w:cantSplit/>
          <w:tblHeader/>
        </w:trPr>
        <w:tc>
          <w:tcPr>
            <w:tcW w:w="65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Driver</w:t>
            </w:r>
          </w:p>
        </w:tc>
        <w:tc>
          <w:tcPr>
            <w:tcW w:w="8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Vehicle</w:t>
            </w:r>
          </w:p>
        </w:tc>
        <w:tc>
          <w:tcPr>
            <w:tcW w:w="13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Battery</w:t>
            </w:r>
          </w:p>
        </w:tc>
        <w:tc>
          <w:tcPr>
            <w:tcW w:w="115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Full charge</w:t>
            </w:r>
          </w:p>
        </w:tc>
        <w:tc>
          <w:tcPr>
            <w:tcW w:w="11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Range</w:t>
            </w:r>
          </w:p>
        </w:tc>
        <w:tc>
          <w:tcPr>
            <w:tcW w:w="145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Charging window</w:t>
            </w:r>
          </w:p>
        </w:tc>
        <w:tc>
          <w:tcPr>
            <w:tcW w:w="345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Cost to driver / owner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A</w:t>
            </w:r>
          </w:p>
        </w:tc>
        <w:tc>
          <w:tcPr>
            <w:tcW w:w="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Lead-acid</w:t>
            </w:r>
          </w:p>
        </w:tc>
        <w:tc>
          <w:tcPr>
            <w:tcW w:w="11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 h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90 km</w:t>
            </w:r>
          </w:p>
        </w:tc>
        <w:tc>
          <w:tcPr>
            <w:tcW w:w="14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8 pm–10 am</w:t>
            </w:r>
          </w:p>
        </w:tc>
        <w:tc>
          <w:tcPr>
            <w:tcW w:w="345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₹400 rent incl. charging; battery ₹48,000 / 2 yr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B</w:t>
            </w:r>
          </w:p>
        </w:tc>
        <w:tc>
          <w:tcPr>
            <w:tcW w:w="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Lithium (LFP)</w:t>
            </w:r>
          </w:p>
        </w:tc>
        <w:tc>
          <w:tcPr>
            <w:tcW w:w="11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3–4 h</w:t>
            </w:r>
          </w:p>
        </w:tc>
        <w:tc>
          <w:tcPr>
            <w:tcW w:w="1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12 am–11 am</w:t>
            </w:r>
          </w:p>
        </w:tc>
        <w:tc>
          <w:tcPr>
            <w:tcW w:w="345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₹300 rent + ₹80 charging; battery ₹70,000 / 2 yr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C</w:t>
            </w:r>
          </w:p>
        </w:tc>
        <w:tc>
          <w:tcPr>
            <w:tcW w:w="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Lithium (to confirm)</w:t>
            </w:r>
          </w:p>
        </w:tc>
        <w:tc>
          <w:tcPr>
            <w:tcW w:w="11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3.5 h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12 am–10 am; 3–7 pm</w:t>
            </w:r>
          </w:p>
        </w:tc>
        <w:tc>
          <w:tcPr>
            <w:tcW w:w="345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₹400 incl. charging; battery every 1.5 yr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D</w:t>
            </w:r>
          </w:p>
        </w:tc>
        <w:tc>
          <w:tcPr>
            <w:tcW w:w="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Lead-acid</w:t>
            </w:r>
          </w:p>
        </w:tc>
        <w:tc>
          <w:tcPr>
            <w:tcW w:w="11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8 h</w:t>
            </w:r>
          </w:p>
        </w:tc>
        <w:tc>
          <w:tcPr>
            <w:tcW w:w="1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12 am–10 am</w:t>
            </w:r>
          </w:p>
        </w:tc>
        <w:tc>
          <w:tcPr>
            <w:tcW w:w="345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₹400 incl. charging; takes home ₹400–500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E</w:t>
            </w:r>
          </w:p>
        </w:tc>
        <w:tc>
          <w:tcPr>
            <w:tcW w:w="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Own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Lead-acid</w:t>
            </w:r>
          </w:p>
        </w:tc>
        <w:tc>
          <w:tcPr>
            <w:tcW w:w="11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3 h (12 h new)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60 km (150 new)</w:t>
            </w:r>
          </w:p>
        </w:tc>
        <w:tc>
          <w:tcPr>
            <w:tcW w:w="14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At home</w:t>
            </w:r>
          </w:p>
        </w:tc>
        <w:tc>
          <w:tcPr>
            <w:tcW w:w="345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₹40–50 per charge; battery ₹50,000 / 2 yr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F</w:t>
            </w:r>
          </w:p>
        </w:tc>
        <w:tc>
          <w:tcPr>
            <w:tcW w:w="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Lithium (LFP)</w:t>
            </w:r>
          </w:p>
        </w:tc>
        <w:tc>
          <w:tcPr>
            <w:tcW w:w="11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5–6 h</w:t>
            </w:r>
          </w:p>
        </w:tc>
        <w:tc>
          <w:tcPr>
            <w:tcW w:w="1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12 am–11 am</w:t>
            </w:r>
          </w:p>
        </w:tc>
        <w:tc>
          <w:tcPr>
            <w:tcW w:w="345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₹400 rent; takes home ₹600; owner pays ₹50,000 battery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G</w:t>
            </w:r>
          </w:p>
        </w:tc>
        <w:tc>
          <w:tcPr>
            <w:tcW w:w="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Lead-acid</w:t>
            </w:r>
          </w:p>
        </w:tc>
        <w:tc>
          <w:tcPr>
            <w:tcW w:w="11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8 h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120 km</w:t>
            </w:r>
          </w:p>
        </w:tc>
        <w:tc>
          <w:tcPr>
            <w:tcW w:w="14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11 pm–8 am</w:t>
            </w:r>
          </w:p>
        </w:tc>
        <w:tc>
          <w:tcPr>
            <w:tcW w:w="345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₹300 rent + ₹100 charging; battery ₹48,000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H</w:t>
            </w:r>
          </w:p>
        </w:tc>
        <w:tc>
          <w:tcPr>
            <w:tcW w:w="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Own</w:t>
            </w:r>
          </w:p>
        </w:tc>
        <w:tc>
          <w:tcPr>
            <w:tcW w:w="1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Lead-acid</w:t>
            </w:r>
          </w:p>
        </w:tc>
        <w:tc>
          <w:tcPr>
            <w:tcW w:w="11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 h</w:t>
            </w:r>
          </w:p>
        </w:tc>
        <w:tc>
          <w:tcPr>
            <w:tcW w:w="1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11 pm–10 am</w:t>
            </w:r>
          </w:p>
        </w:tc>
        <w:tc>
          <w:tcPr>
            <w:tcW w:w="345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₹70–80 per day at home (7–8 units); battery every 1.5 yr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I</w:t>
            </w:r>
          </w:p>
        </w:tc>
        <w:tc>
          <w:tcPr>
            <w:tcW w:w="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Rented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Lithium (LFP)</w:t>
            </w:r>
          </w:p>
        </w:tc>
        <w:tc>
          <w:tcPr>
            <w:tcW w:w="11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5 h</w:t>
            </w:r>
          </w:p>
        </w:tc>
        <w:tc>
          <w:tcPr>
            <w:tcW w:w="1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100 km</w:t>
            </w:r>
          </w:p>
        </w:tc>
        <w:tc>
          <w:tcPr>
            <w:tcW w:w="145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 pm–10 am</w:t>
            </w:r>
          </w:p>
        </w:tc>
        <w:tc>
          <w:tcPr>
            <w:tcW w:w="345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₹400 rent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2. When they charge</w:t>
      </w:r>
    </w:p>
    <w:p>
      <w:pPr>
        <w:keepNext/>
        <w:spacing w:after="60"/>
      </w:pPr>
      <w:r>
        <w:rPr>
          <w:rFonts w:ascii="Calibri" w:hAnsi="Calibri"/>
          <w:b/>
          <w:color w:val="2457D6"/>
          <w:sz w:val="18"/>
        </w:rPr>
        <w:t xml:space="preserve">FIELD DATA  ·  Charging windows as reported</w:t>
      </w:r>
    </w:p>
    <w:p>
      <w:pPr>
        <w:keepNext/>
        <w:spacing w:after="40"/>
      </w:pPr>
      <w:r>
        <w:drawing>
          <wp:inline distT="0" distB="0" distL="0" distR="0">
            <wp:extent cx="6126480" cy="3104083"/>
            <wp:docPr id="1" name="c1" descr="Chart 1. Six of eight drivers start charging between 11 pm and 1 am. A and I gave a second window that is not drawn; E charges at home and gave no time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Chart 1. Six of eight drivers start charging between 11 pm and 1 am. A and I gave a second window that is not drawn; E charges at home and gave no time.</w:t>
      </w:r>
    </w:p>
    <w:p>
      <w:pPr>
        <w:keepNext/>
        <w:spacing w:after="60"/>
      </w:pPr>
      <w:r>
        <w:rPr>
          <w:rFonts w:ascii="Calibri" w:hAnsi="Calibri"/>
          <w:b/>
          <w:color w:val="C98200"/>
          <w:sz w:val="18"/>
        </w:rPr>
        <w:t xml:space="preserve">DERIVED  ·  Counted from the windows above</w:t>
      </w:r>
    </w:p>
    <w:p>
      <w:pPr>
        <w:keepNext/>
        <w:spacing w:after="40"/>
      </w:pPr>
      <w:r>
        <w:drawing>
          <wp:inline distT="0" distB="0" distL="0" distR="0">
            <wp:extent cx="6126480" cy="3104083"/>
            <wp:docPr id="2" name="c2" descr="Chart 2. All eight drivers who gave a window are charging between 12 am and 8 am. The kW figure uses an assumed 0.9 kW per charger, which we still need to confir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Chart 2. All eight drivers who gave a window are charging between 12 am and 8 am. The kW figure uses an assumed 0.9 kW per charger, which we still need to confirm.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3. Batteries and range</w:t>
      </w:r>
    </w:p>
    <w:p>
      <w:pPr>
        <w:keepNext/>
        <w:spacing w:after="60"/>
      </w:pPr>
      <w:r>
        <w:rPr>
          <w:rFonts w:ascii="Calibri" w:hAnsi="Calibri"/>
          <w:b/>
          <w:color w:val="2457D6"/>
          <w:sz w:val="18"/>
        </w:rPr>
        <w:t xml:space="preserve">FIELD DATA  ·  Charge time and range as reported</w:t>
      </w:r>
    </w:p>
    <w:p>
      <w:pPr>
        <w:keepNext/>
        <w:spacing w:after="40"/>
      </w:pPr>
      <w:r>
        <w:drawing>
          <wp:inline distT="0" distB="0" distL="0" distR="0">
            <wp:extent cx="6126480" cy="2859024"/>
            <wp:docPr id="3" name="c3" descr="Chart 3. Lead-acid packs take 8 to 10 hours, which leaves little room to shift charging. Lithium takes 3 to 6 hours. E's lead-acid pack now charges in 3 hours because there is far less battery lef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Chart 3. Lead-acid packs take 8 to 10 hours, which leaves little room to shift charging. Lithium takes 3 to 6 hours. E's lead-acid pack now charges in 3 hours because there is far less battery left.</w:t>
      </w:r>
    </w:p>
    <w:p>
      <w:pPr>
        <w:keepNext/>
        <w:spacing w:after="40"/>
      </w:pPr>
      <w:r>
        <w:drawing>
          <wp:inline distT="0" distB="0" distL="0" distR="0">
            <wp:extent cx="6126480" cy="2859024"/>
            <wp:docPr id="4" name="c4" descr="Chart 4. Most vehicles report about 100 km. E's range has fallen from 150 km to 60 km, 40% of the original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Chart 4. Most vehicles report about 100 km. E's range has fallen from 150 km to 60 km, 40% of the original.</w:t>
      </w:r>
    </w:p>
    <w:p>
      <w:pPr>
        <w:keepNext/>
        <w:spacing w:after="60"/>
      </w:pPr>
      <w:r>
        <w:rPr>
          <w:rFonts w:ascii="Calibri" w:hAnsi="Calibri"/>
          <w:b/>
          <w:color w:val="2457D6"/>
          <w:sz w:val="18"/>
        </w:rPr>
        <w:t xml:space="preserve">FIELD DATA  ·  Replacement cost and interval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1500"/>
        <w:gridCol w:w="2300"/>
        <w:gridCol w:w="2900"/>
        <w:gridCol w:w="2306"/>
      </w:tblGrid>
      <w:tr>
        <w:trPr>
          <w:cantSplit/>
          <w:tblHeader/>
        </w:trPr>
        <w:tc>
          <w:tcPr>
            <w:tcW w:w="9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Driver</w:t>
            </w:r>
          </w:p>
        </w:tc>
        <w:tc>
          <w:tcPr>
            <w:tcW w:w="15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Battery</w:t>
            </w:r>
          </w:p>
        </w:tc>
        <w:tc>
          <w:tcPr>
            <w:tcW w:w="23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Replacement cost</w:t>
            </w:r>
          </w:p>
        </w:tc>
        <w:tc>
          <w:tcPr>
            <w:tcW w:w="29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Replaced every</w:t>
            </w:r>
          </w:p>
        </w:tc>
        <w:tc>
          <w:tcPr>
            <w:tcW w:w="23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Derived ₹ per day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A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Lead-acid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₹48,000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2 years</w:t>
            </w:r>
          </w:p>
        </w:tc>
        <w:tc>
          <w:tcPr>
            <w:tcW w:w="23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₹66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</w:t>
            </w:r>
          </w:p>
        </w:tc>
        <w:tc>
          <w:tcPr>
            <w:tcW w:w="15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Lithium</w:t>
            </w:r>
          </w:p>
        </w:tc>
        <w:tc>
          <w:tcPr>
            <w:tcW w:w="2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₹70,000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2 years</w:t>
            </w:r>
          </w:p>
        </w:tc>
        <w:tc>
          <w:tcPr>
            <w:tcW w:w="23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₹96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E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Lead-acid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₹50,000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2 years (company asks yearly)</w:t>
            </w:r>
          </w:p>
        </w:tc>
        <w:tc>
          <w:tcPr>
            <w:tcW w:w="23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₹68 (₹137 if yearly)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F</w:t>
            </w:r>
          </w:p>
        </w:tc>
        <w:tc>
          <w:tcPr>
            <w:tcW w:w="15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Lithium</w:t>
            </w:r>
          </w:p>
        </w:tc>
        <w:tc>
          <w:tcPr>
            <w:tcW w:w="2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₹50,000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3 years</w:t>
            </w:r>
          </w:p>
        </w:tc>
        <w:tc>
          <w:tcPr>
            <w:tcW w:w="23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₹46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G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Lead-acid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₹48,000 (₹12,000 each)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not stated</w:t>
            </w:r>
          </w:p>
        </w:tc>
        <w:tc>
          <w:tcPr>
            <w:tcW w:w="23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₹66 if 2 years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H</w:t>
            </w:r>
          </w:p>
        </w:tc>
        <w:tc>
          <w:tcPr>
            <w:tcW w:w="15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Lead-acid</w:t>
            </w:r>
          </w:p>
        </w:tc>
        <w:tc>
          <w:tcPr>
            <w:tcW w:w="2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not stated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1.5 years (1 year guarantee)</w:t>
            </w:r>
          </w:p>
        </w:tc>
        <w:tc>
          <w:tcPr>
            <w:tcW w:w="23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n/a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₹ per day = replacement cost ÷ (years × 365). Derived by us, not reported by drivers.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4. Where the rent goes</w:t>
      </w:r>
    </w:p>
    <w:p>
      <w:pPr>
        <w:keepNext/>
        <w:spacing w:after="60"/>
      </w:pPr>
      <w:r>
        <w:rPr>
          <w:rFonts w:ascii="Calibri" w:hAnsi="Calibri"/>
          <w:b/>
          <w:color w:val="C98200"/>
          <w:sz w:val="18"/>
        </w:rPr>
        <w:t xml:space="preserve">DERIVED  ·  Derived from the drivers' figures</w:t>
      </w:r>
    </w:p>
    <w:p>
      <w:pPr>
        <w:keepNext/>
        <w:spacing w:after="40"/>
      </w:pPr>
      <w:r>
        <w:drawing>
          <wp:inline distT="0" distB="0" distL="0" distR="0">
            <wp:extent cx="6126480" cy="2859024"/>
            <wp:docPr id="5" name="c5" descr="Chart 5. For B and G, electricity plus battery wear is about ₹165 to ₹175 a day, around 40% of the rent. These are the owner's costs. Not the owners' accounts: a margin and other costs are not measured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078"/>
          <w:sz w:val="19"/>
        </w:rPr>
        <w:t xml:space="preserve">Chart 5. For B and G, electricity plus battery wear is about ₹165 to ₹175 a day, around 40% of the rent. These are the owner's costs. Not the owners' accounts: a margin and other costs are not measured.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5. What ChargeFlow does with this</w:t>
      </w:r>
    </w:p>
    <w:p>
      <w:pPr>
        <w:keepNext/>
        <w:spacing w:after="60"/>
      </w:pPr>
      <w:r>
        <w:rPr>
          <w:rFonts w:ascii="Calibri" w:hAnsi="Calibri"/>
          <w:b/>
          <w:color w:val="6B7078"/>
          <w:sz w:val="18"/>
        </w:rPr>
        <w:t xml:space="preserve">SIMULATED  ·  ChargeFlow simulator results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  <w:gridCol w:w="2700"/>
        <w:gridCol w:w="3006"/>
      </w:tblGrid>
      <w:tr>
        <w:trPr>
          <w:cantSplit/>
          <w:tblHeader/>
        </w:trPr>
        <w:tc>
          <w:tcPr>
            <w:tcW w:w="42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Measure (10 rickshaws, 7 kW limit assumed)</w:t>
            </w:r>
          </w:p>
        </w:tc>
        <w:tc>
          <w:tcPr>
            <w:tcW w:w="27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Plug-in-and-charge</w:t>
            </w:r>
          </w:p>
        </w:tc>
        <w:tc>
          <w:tcPr>
            <w:tcW w:w="30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ChargeFlow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Peak grid demand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10.5 kW</w:t>
            </w:r>
          </w:p>
        </w:tc>
        <w:tc>
          <w:tcPr>
            <w:tcW w:w="30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color w:val="2457D6"/>
                <w:sz w:val="20"/>
              </w:rPr>
              <w:t xml:space="preserve">6.6 kW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Time over the sanctioned load</w:t>
            </w:r>
          </w:p>
        </w:tc>
        <w:tc>
          <w:tcPr>
            <w:tcW w:w="27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4 h 15 min</w:t>
            </w:r>
          </w:p>
        </w:tc>
        <w:tc>
          <w:tcPr>
            <w:tcW w:w="30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color w:val="2457D6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Rickshaws ready (95%) by departure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10 of 10</w:t>
            </w:r>
          </w:p>
        </w:tc>
        <w:tc>
          <w:tcPr>
            <w:tcW w:w="30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10 of 10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Charger-hours on already-full packs</w:t>
            </w:r>
          </w:p>
        </w:tc>
        <w:tc>
          <w:tcPr>
            <w:tcW w:w="27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7.8 h</w:t>
            </w:r>
          </w:p>
        </w:tc>
        <w:tc>
          <w:tcPr>
            <w:tcW w:w="30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color w:val="2457D6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At a 6 kW limit: ready by departure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grid only: 5 of 10</w:t>
            </w:r>
          </w:p>
        </w:tc>
        <w:tc>
          <w:tcPr>
            <w:tcW w:w="30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color w:val="2457D6"/>
                <w:sz w:val="20"/>
              </w:rPr>
              <w:t xml:space="preserve">with solar + second-life pack: 10 of 10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p>
      <w:pPr>
        <w:spacing w:after="200"/>
      </w:pPr>
      <w:r>
        <w:rPr>
          <w:rFonts w:ascii="Calibri" w:hAnsi="Calibri"/>
          <w:color w:val="4A4F57"/>
          <w:sz w:val="20"/>
        </w:rPr>
        <w:t xml:space="preserve">Plug-in-and-charge also reaches 10 of 10 at 7 kW, but only by running 4 hours 15 minutes over the limit. Arrival times in the simulator are generated, and the 7 kW limit is a placeholder.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6. What we have not verified yet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00"/>
        <w:gridCol w:w="5606"/>
      </w:tblGrid>
      <w:tr>
        <w:trPr>
          <w:cantSplit/>
          <w:tblHeader/>
        </w:trPr>
        <w:tc>
          <w:tcPr>
            <w:tcW w:w="43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Open question</w:t>
            </w:r>
          </w:p>
        </w:tc>
        <w:tc>
          <w:tcPr>
            <w:tcW w:w="56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Sanctioned load and breaker trips at a garage</w:t>
            </w:r>
          </w:p>
        </w:tc>
        <w:tc>
          <w:tcPr>
            <w:tcW w:w="5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Our central claim is that ten chargers exceed the connection. The visit did not ask this.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Charger rating, and whether it cuts off when full</w:t>
            </w:r>
          </w:p>
        </w:tc>
        <w:tc>
          <w:tcPr>
            <w:tcW w:w="5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Sets the real load per vehicle and how much energy float charging wastes.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Energy per charge: 7–8 units from H, one driver</w:t>
            </w:r>
          </w:p>
        </w:tc>
        <w:tc>
          <w:tcPr>
            <w:tcW w:w="5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Our simulator assumes about 5 kWh per vehicle, so it may understate the load.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Whether the garage connection is residential</w:t>
            </w:r>
          </w:p>
        </w:tc>
        <w:tc>
          <w:tcPr>
            <w:tcW w:w="5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Decides if PM Surya Ghar rooftop solar can apply. A 3 kW system gives about 12 kWh a day against 70–80 kWh of nightly charging.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The 'morning charging' subsidy we heard about</w:t>
            </w:r>
          </w:p>
        </w:tc>
        <w:tc>
          <w:tcPr>
            <w:tcW w:w="5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Unclear whether it is a tariff or a purchase subsidy.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2"/>
        </w:rPr>
        <w:t xml:space="preserve">7. Suggested 5-minute pitch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2600"/>
        <w:gridCol w:w="6406"/>
      </w:tblGrid>
      <w:tr>
        <w:trPr>
          <w:cantSplit/>
          <w:tblHeader/>
        </w:trPr>
        <w:tc>
          <w:tcPr>
            <w:tcW w:w="9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Time</w:t>
            </w:r>
          </w:p>
        </w:tc>
        <w:tc>
          <w:tcPr>
            <w:tcW w:w="26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Show</w:t>
            </w:r>
          </w:p>
        </w:tc>
        <w:tc>
          <w:tcPr>
            <w:tcW w:w="64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Say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0:10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Title</w:t>
            </w:r>
          </w:p>
        </w:tc>
        <w:tc>
          <w:tcPr>
            <w:tcW w:w="64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A day with e-rickshaw drivers in Varanasi.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0:30</w:t>
            </w:r>
          </w:p>
        </w:tc>
        <w:tc>
          <w:tcPr>
            <w:tcW w:w="26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Key numbers</w:t>
            </w:r>
          </w:p>
        </w:tc>
        <w:tc>
          <w:tcPr>
            <w:tcW w:w="64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7 of 9 rent; rent includes charging; the owner pays the bill.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0:35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Chart 1 and 2</w:t>
            </w:r>
          </w:p>
        </w:tc>
        <w:tc>
          <w:tcPr>
            <w:tcW w:w="64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Most start charging at the same hours: 8 vehicles at once.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0:40</w:t>
            </w:r>
          </w:p>
        </w:tc>
        <w:tc>
          <w:tcPr>
            <w:tcW w:w="26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Chart 5</w:t>
            </w:r>
          </w:p>
        </w:tc>
        <w:tc>
          <w:tcPr>
            <w:tcW w:w="64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A third to a half of the rent is electricity and battery wear.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0:25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Chart 4</w:t>
            </w:r>
          </w:p>
        </w:tc>
        <w:tc>
          <w:tcPr>
            <w:tcW w:w="64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E's range fell from 150 km to 60 km; nobody tracks battery health.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1:30</w:t>
            </w:r>
          </w:p>
        </w:tc>
        <w:tc>
          <w:tcPr>
            <w:tcW w:w="26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Section 5 + live app</w:t>
            </w:r>
          </w:p>
        </w:tc>
        <w:tc>
          <w:tcPr>
            <w:tcW w:w="64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At 6 kW, grid only gets 5 of 10 ready; with solar and storage, 10 of 10.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0:40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Section 6</w:t>
            </w:r>
          </w:p>
        </w:tc>
        <w:tc>
          <w:tcPr>
            <w:tcW w:w="64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 xml:space="preserve">What we have not verified, and the one-week garage test.</w:t>
            </w:r>
          </w:p>
        </w:tc>
      </w:tr>
    </w:tbl>
    <w:p>
      <w:pPr>
        <w:spacing w:after="160"/>
      </w:pPr>
      <w:r>
        <w:rPr>
          <w:rFonts w:ascii="Calibri" w:hAnsi="Calibri"/>
          <w:sz w:val="22"/>
        </w:rPr>
        <w:t xml:space="preserve"/>
      </w:r>
    </w:p>
    <w:sectPr>
      <w:footerReference w:type="default" r:id="rIdFoot"/>
      <w:pgSz w:w="11906" w:h="16838"/>
      <w:pgMar w:top="1000" w:right="1000" w:bottom="1000" w:left="1000" w:header="500" w:footer="5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B7078"/>
        <w:sz w:val="18"/>
      </w:rPr>
      <w:t xml:space="preserve">ChargeFlow · Field findings from Varanasi · page </w:t>
    </w:r>
    <w:r>
      <w:rPr>
        <w:color w:val="6B7078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Foot" Type="http://schemas.openxmlformats.org/officeDocument/2006/relationships/footer" Target="footer1.xml"/><Relationship Id="rIdImg1" Type="http://schemas.openxmlformats.org/officeDocument/2006/relationships/image" Target="media/c1.png"/><Relationship Id="rIdImg2" Type="http://schemas.openxmlformats.org/officeDocument/2006/relationships/image" Target="media/c2.png"/><Relationship Id="rIdImg3" Type="http://schemas.openxmlformats.org/officeDocument/2006/relationships/image" Target="media/c3.png"/><Relationship Id="rIdImg4" Type="http://schemas.openxmlformats.org/officeDocument/2006/relationships/image" Target="media/c4.png"/><Relationship Id="rIdImg5" Type="http://schemas.openxmlformats.org/officeDocument/2006/relationships/image" Target="media/c5.png"/></Relationships>
</file>