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after="0"/>
      </w:pPr>
      <w:r>
        <w:rPr>
          <w:rFonts w:ascii="Calibri" w:hAnsi="Calibri"/>
          <w:b/>
          <w:color w:val="2457D6"/>
          <w:sz w:val="22"/>
        </w:rPr>
        <w:t xml:space="preserve">ChargeFlow</w:t>
      </w:r>
    </w:p>
    <w:p>
      <w:pPr>
        <w:spacing w:after="60"/>
      </w:pPr>
      <w:r>
        <w:rPr>
          <w:rFonts w:ascii="Calibri" w:hAnsi="Calibri"/>
          <w:b/>
          <w:color w:val="171A20"/>
          <w:sz w:val="44"/>
        </w:rPr>
        <w:t xml:space="preserve">Unit economics and feasibility</w:t>
      </w:r>
    </w:p>
    <w:p>
      <w:pPr>
        <w:spacing w:after="200"/>
      </w:pPr>
      <w:r>
        <w:rPr>
          <w:rFonts w:ascii="Calibri" w:hAnsi="Calibri"/>
          <w:color w:val="4A4F57"/>
          <w:sz w:val="22"/>
        </w:rPr>
        <w:t xml:space="preserve">Garage owner and company, using our Varanasi field data plus published prices and subsidy rules. All figures in ₹, per year unless stated.</w:t>
      </w:r>
    </w:p>
    <w:tbl>
      <w:tblPr>
        <w:tblW w:w="9906" w:type="dxa"/>
        <w:tblLayout w:type="fixed"/>
        <w:tblCellMar>
          <w:top w:w="120" w:type="dxa"/>
          <w:left w:w="180" w:type="dxa"/>
          <w:bottom w:w="100" w:type="dxa"/>
          <w:right w:w="180" w:type="dxa"/>
        </w:tblCellMar>
      </w:tblPr>
      <w:tblGrid>
        <w:gridCol w:w="9906"/>
      </w:tblGrid>
      <w:tr>
        <w:tc>
          <w:tcPr>
            <w:tcW w:w="9906" w:type="dxa"/>
            <w:shd w:val="clear" w:color="auto" w:fill="E8EEFB"/>
          </w:tcPr>
          <w:p>
            <w:pPr>
              <w:spacing w:after="60"/>
            </w:pPr>
            <w:r>
              <w:rPr>
                <w:rFonts w:ascii="Calibri" w:hAnsi="Calibri"/>
                <w:b/>
                <w:color w:val="2457D6"/>
                <w:sz w:val="24"/>
              </w:rPr>
              <w:t xml:space="preserve">Bottom line</w:t>
            </w:r>
          </w:p>
          <w:p>
            <w:pPr>
              <w:spacing w:after="50"/>
            </w:pPr>
            <w:r>
              <w:rPr>
                <w:rFonts w:ascii="Calibri" w:hAnsi="Calibri"/>
                <w:sz w:val="21"/>
              </w:rPr>
              <w:t xml:space="preserve">•  The owner's business is already profitable: about ₹76,058 margin per vehicle a year on ₹1.6 lakh of vehicle cost (payback 2.1 years; 4.6 years in a conservative case).</w:t>
            </w:r>
          </w:p>
          <w:p>
            <w:pPr>
              <w:spacing w:after="50"/>
            </w:pPr>
            <w:r>
              <w:rPr>
                <w:rFonts w:ascii="Calibri" w:hAnsi="Calibri"/>
                <w:sz w:val="21"/>
              </w:rPr>
              <w:t xml:space="preserve">•  Electricity plus batteries are about 29% of the rent, so cost savings help but cannot be the whole story.</w:t>
            </w:r>
          </w:p>
          <w:p>
            <w:pPr>
              <w:spacing w:after="50"/>
            </w:pPr>
            <w:r>
              <w:rPr>
                <w:rFonts w:ascii="Calibri" w:hAnsi="Calibri"/>
                <w:sz w:val="21"/>
              </w:rPr>
              <w:t xml:space="preserve">•  The strongest owner investment is a 3 kW rooftop system with subsidy and net metering: payback about 4.3 years (range 2.7 to 6.0), and still about 5.2 years with no subsidy.</w:t>
            </w:r>
          </w:p>
          <w:p>
            <w:pPr>
              <w:spacing w:after="50"/>
            </w:pPr>
            <w:r>
              <w:rPr>
                <w:rFonts w:ascii="Calibri" w:hAnsi="Calibri"/>
                <w:sz w:val="21"/>
              </w:rPr>
              <w:t xml:space="preserve">•  A standalone smart-charging controller is only profitable for the owner if it also extends battery life; the pilot must measure that. At ₹800 a month the base case nets the owner ₹9,200 a year; the conservative case is ₹-400.</w:t>
            </w:r>
          </w:p>
          <w:p>
            <w:pPr>
              <w:spacing w:after="50"/>
            </w:pPr>
            <w:r>
              <w:rPr>
                <w:rFonts w:ascii="Calibri" w:hAnsi="Calibri"/>
                <w:sz w:val="21"/>
              </w:rPr>
              <w:t xml:space="preserve">•  For the company, breakeven is about 162 garages (base), range 92 to 417, with about ₹17.84 lakh of upfront cash.</w:t>
            </w:r>
          </w:p>
          <w:p>
            <w:pPr>
              <w:spacing w:after="50"/>
            </w:pPr>
            <w:r>
              <w:rPr>
                <w:rFonts w:ascii="Calibri" w:hAnsi="Calibri"/>
                <w:sz w:val="21"/>
              </w:rPr>
              <w:t xml:space="preserve">•  Best design: lead with solar plus net metering and the controller together, sold through solar installers and e-rickshaw dealers. Second-life storage is optional, not the profit engine.</w:t>
            </w:r>
          </w:p>
        </w:tc>
      </w:tr>
    </w:tbl>
    <w:p>
      <w:pPr>
        <w:spacing w:after="140"/>
      </w:pPr>
      <w:r>
        <w:rPr>
          <w:rFonts w:ascii="Calibri" w:hAnsi="Calibri"/>
          <w:sz w:val="22"/>
        </w:rPr>
        <w:t xml:space="preserve"/>
      </w:r>
    </w:p>
    <w:tbl>
      <w:tblPr>
        <w:tblW w:w="9906" w:type="dxa"/>
        <w:tblLayout w:type="fixed"/>
        <w:tblCellMar>
          <w:top w:w="120" w:type="dxa"/>
          <w:left w:w="180" w:type="dxa"/>
          <w:bottom w:w="100" w:type="dxa"/>
          <w:right w:w="180" w:type="dxa"/>
        </w:tblCellMar>
      </w:tblPr>
      <w:tblGrid>
        <w:gridCol w:w="9906"/>
      </w:tblGrid>
      <w:tr>
        <w:tc>
          <w:tcPr>
            <w:tcW w:w="9906" w:type="dxa"/>
            <w:shd w:val="clear" w:color="auto" w:fill="FDF1DC"/>
          </w:tcPr>
          <w:p>
            <w:pPr>
              <w:spacing w:after="60"/>
            </w:pPr>
            <w:r>
              <w:rPr>
                <w:rFonts w:ascii="Calibri" w:hAnsi="Calibri"/>
                <w:b/>
                <w:color w:val="2457D6"/>
                <w:sz w:val="24"/>
              </w:rPr>
              <w:t xml:space="preserve">Correction to our earlier material</w:t>
            </w:r>
          </w:p>
          <w:p>
            <w:pPr>
              <w:spacing w:after="50"/>
            </w:pPr>
            <w:r>
              <w:rPr>
                <w:rFonts w:ascii="Calibri" w:hAnsi="Calibri"/>
                <w:sz w:val="21"/>
              </w:rPr>
              <w:t xml:space="preserve">•  We earlier treated the ₹80–100 charging fee as the owner's electricity cost. That is what B and G are billed. At 6.5 kWh a day and a ₹6.5 tariff the owner's own cost is about ₹42 a day, so electricity plus batteries are about 30% of the rent, not a third to a half. Update the pitch slide and the Word summary.</w:t>
            </w:r>
          </w:p>
        </w:tc>
      </w:tr>
    </w:tbl>
    <w:p>
      <w:pPr>
        <w:spacing w:after="140"/>
      </w:pPr>
      <w:r>
        <w:rPr>
          <w:rFonts w:ascii="Calibri" w:hAnsi="Calibri"/>
          <w:sz w:val="22"/>
        </w:rPr>
        <w:t xml:space="preserve"/>
      </w:r>
    </w:p>
    <w:p>
      <w:pPr>
        <w:pStyle w:val="Heading1"/>
        <w:keepNext/>
        <w:spacing w:after="100"/>
      </w:pPr>
      <w:r>
        <w:rPr>
          <w:rFonts w:ascii="Calibri" w:hAnsi="Calibri"/>
          <w:b/>
          <w:color w:val="171A20"/>
          <w:sz w:val="30"/>
        </w:rPr>
        <w:t xml:space="preserve">1. Data used</w:t>
      </w:r>
    </w:p>
    <w:p>
      <w:pPr>
        <w:spacing w:after="120"/>
      </w:pPr>
      <w:r>
        <w:rPr>
          <w:rFonts w:ascii="Calibri" w:hAnsi="Calibri"/>
          <w:color w:val="4A4F57"/>
          <w:sz w:val="20"/>
        </w:rPr>
        <w:t xml:space="preserve">FIELD = our nine drivers.  PUBLISHED = found in sources (listed at the end).  ASSUMPTION = our estimate, to be replaced by pilot data.</w:t>
      </w:r>
    </w:p>
    <w:tbl>
      <w:tblPr>
        <w:tblW w:w="9906" w:type="dxa"/>
        <w:tblBorders>
          <w:top w:val="single" w:sz="4" w:color="D6D2C7"/>
          <w:left w:val="single" w:sz="4" w:color="D6D2C7"/>
          <w:bottom w:val="single" w:sz="4" w:color="D6D2C7"/>
          <w:right w:val="single" w:sz="4" w:color="D6D2C7"/>
          <w:insideH w:val="single" w:sz="4" w:color="D6D2C7"/>
          <w:insideV w:val="single" w:sz="4" w:color="D6D2C7"/>
        </w:tblBorders>
        <w:tblLayout w:type="fixed"/>
        <w:tblCellMar>
          <w:top w:w="55" w:type="dxa"/>
          <w:left w:w="90" w:type="dxa"/>
          <w:bottom w:w="55" w:type="dxa"/>
          <w:right w:w="90" w:type="dxa"/>
        </w:tblCellMar>
      </w:tblPr>
      <w:tblGrid>
        <w:gridCol w:w="3000"/>
        <w:gridCol w:w="4300"/>
        <w:gridCol w:w="2606"/>
      </w:tblGrid>
      <w:tr>
        <w:trPr>
          <w:cantSplit/>
          <w:tblHeader/>
        </w:trPr>
        <w:tc>
          <w:tcPr>
            <w:tcW w:w="3000" w:type="dxa"/>
            <w:shd w:val="clear" w:color="auto" w:fill="E3DFD6"/>
          </w:tcPr>
          <w:p>
            <w:pPr>
              <w:spacing w:after="0"/>
            </w:pPr>
            <w:r>
              <w:rPr>
                <w:rFonts w:ascii="Calibri" w:hAnsi="Calibri"/>
                <w:b/>
                <w:sz w:val="18"/>
              </w:rPr>
              <w:t xml:space="preserve">Input</w:t>
            </w:r>
          </w:p>
        </w:tc>
        <w:tc>
          <w:tcPr>
            <w:tcW w:w="4300" w:type="dxa"/>
            <w:shd w:val="clear" w:color="auto" w:fill="E3DFD6"/>
          </w:tcPr>
          <w:p>
            <w:pPr>
              <w:spacing w:after="0"/>
            </w:pPr>
            <w:r>
              <w:rPr>
                <w:rFonts w:ascii="Calibri" w:hAnsi="Calibri"/>
                <w:b/>
                <w:sz w:val="18"/>
              </w:rPr>
              <w:t xml:space="preserve">Value</w:t>
            </w:r>
          </w:p>
        </w:tc>
        <w:tc>
          <w:tcPr>
            <w:tcW w:w="2606" w:type="dxa"/>
            <w:shd w:val="clear" w:color="auto" w:fill="E3DFD6"/>
          </w:tcPr>
          <w:p>
            <w:pPr>
              <w:spacing w:after="0"/>
            </w:pPr>
            <w:r>
              <w:rPr>
                <w:rFonts w:ascii="Calibri" w:hAnsi="Calibri"/>
                <w:b/>
                <w:sz w:val="18"/>
              </w:rPr>
              <w:t xml:space="preserve">Source</w:t>
            </w:r>
          </w:p>
        </w:tc>
      </w:tr>
      <w:tr>
        <w:trPr>
          <w:cantSplit/>
        </w:trPr>
        <w:tc>
          <w:tcPr>
            <w:tcW w:w="3000" w:type="dxa"/>
            <w:shd w:val="clear" w:color="auto" w:fill="FFFFFF"/>
          </w:tcPr>
          <w:p>
            <w:pPr>
              <w:spacing w:after="0"/>
            </w:pPr>
            <w:r>
              <w:rPr>
                <w:rFonts w:ascii="Calibri" w:hAnsi="Calibri"/>
                <w:b/>
                <w:sz w:val="18"/>
              </w:rPr>
              <w:t xml:space="preserve">Daily rent, charging included</w:t>
            </w:r>
          </w:p>
        </w:tc>
        <w:tc>
          <w:tcPr>
            <w:tcW w:w="4300" w:type="dxa"/>
            <w:shd w:val="clear" w:color="auto" w:fill="FFFFFF"/>
          </w:tcPr>
          <w:p>
            <w:pPr>
              <w:spacing w:after="0"/>
            </w:pPr>
            <w:r>
              <w:rPr>
                <w:rFonts w:ascii="Calibri" w:hAnsi="Calibri"/>
                <w:sz w:val="18"/>
              </w:rPr>
              <w:t xml:space="preserve">₹380–400</w:t>
            </w:r>
          </w:p>
        </w:tc>
        <w:tc>
          <w:tcPr>
            <w:tcW w:w="2606" w:type="dxa"/>
            <w:shd w:val="clear" w:color="auto" w:fill="FFFFFF"/>
          </w:tcPr>
          <w:p>
            <w:pPr>
              <w:spacing w:after="0"/>
            </w:pPr>
            <w:r>
              <w:rPr>
                <w:rFonts w:ascii="Calibri" w:hAnsi="Calibri"/>
                <w:sz w:val="18"/>
              </w:rPr>
              <w:t xml:space="preserve">FIELD (7 of 9 drivers rent)</w:t>
            </w:r>
          </w:p>
        </w:tc>
      </w:tr>
      <w:tr>
        <w:trPr>
          <w:cantSplit/>
        </w:trPr>
        <w:tc>
          <w:tcPr>
            <w:tcW w:w="3000" w:type="dxa"/>
            <w:shd w:val="clear" w:color="auto" w:fill="F7F5F0"/>
          </w:tcPr>
          <w:p>
            <w:pPr>
              <w:spacing w:after="0"/>
            </w:pPr>
            <w:r>
              <w:rPr>
                <w:rFonts w:ascii="Calibri" w:hAnsi="Calibri"/>
                <w:b/>
                <w:sz w:val="18"/>
              </w:rPr>
              <w:t xml:space="preserve">Vehicles per garage</w:t>
            </w:r>
          </w:p>
        </w:tc>
        <w:tc>
          <w:tcPr>
            <w:tcW w:w="4300" w:type="dxa"/>
            <w:shd w:val="clear" w:color="auto" w:fill="F7F5F0"/>
          </w:tcPr>
          <w:p>
            <w:pPr>
              <w:spacing w:after="0"/>
            </w:pPr>
            <w:r>
              <w:rPr>
                <w:rFonts w:ascii="Calibri" w:hAnsi="Calibri"/>
                <w:sz w:val="18"/>
              </w:rPr>
              <w:t xml:space="preserve">about 10</w:t>
            </w:r>
          </w:p>
        </w:tc>
        <w:tc>
          <w:tcPr>
            <w:tcW w:w="2606" w:type="dxa"/>
            <w:shd w:val="clear" w:color="auto" w:fill="F7F5F0"/>
          </w:tcPr>
          <w:p>
            <w:pPr>
              <w:spacing w:after="0"/>
            </w:pPr>
            <w:r>
              <w:rPr>
                <w:rFonts w:ascii="Calibri" w:hAnsi="Calibri"/>
                <w:sz w:val="18"/>
              </w:rPr>
              <w:t xml:space="preserve">FIELD</w:t>
            </w:r>
          </w:p>
        </w:tc>
      </w:tr>
      <w:tr>
        <w:trPr>
          <w:cantSplit/>
        </w:trPr>
        <w:tc>
          <w:tcPr>
            <w:tcW w:w="3000" w:type="dxa"/>
            <w:shd w:val="clear" w:color="auto" w:fill="FFFFFF"/>
          </w:tcPr>
          <w:p>
            <w:pPr>
              <w:spacing w:after="0"/>
            </w:pPr>
            <w:r>
              <w:rPr>
                <w:rFonts w:ascii="Calibri" w:hAnsi="Calibri"/>
                <w:b/>
                <w:sz w:val="18"/>
              </w:rPr>
              <w:t xml:space="preserve">Battery set cost and life</w:t>
            </w:r>
          </w:p>
        </w:tc>
        <w:tc>
          <w:tcPr>
            <w:tcW w:w="4300" w:type="dxa"/>
            <w:shd w:val="clear" w:color="auto" w:fill="FFFFFF"/>
          </w:tcPr>
          <w:p>
            <w:pPr>
              <w:spacing w:after="0"/>
            </w:pPr>
            <w:r>
              <w:rPr>
                <w:rFonts w:ascii="Calibri" w:hAnsi="Calibri"/>
                <w:sz w:val="18"/>
              </w:rPr>
              <w:t xml:space="preserve">₹48,000–70,000 every 1.5–3 years (≈ ₹46–137 a day)</w:t>
            </w:r>
          </w:p>
        </w:tc>
        <w:tc>
          <w:tcPr>
            <w:tcW w:w="2606" w:type="dxa"/>
            <w:shd w:val="clear" w:color="auto" w:fill="FFFFFF"/>
          </w:tcPr>
          <w:p>
            <w:pPr>
              <w:spacing w:after="0"/>
            </w:pPr>
            <w:r>
              <w:rPr>
                <w:rFonts w:ascii="Calibri" w:hAnsi="Calibri"/>
                <w:sz w:val="18"/>
              </w:rPr>
              <w:t xml:space="preserve">FIELD (A, B, E, F, G, H)</w:t>
            </w:r>
          </w:p>
        </w:tc>
      </w:tr>
      <w:tr>
        <w:trPr>
          <w:cantSplit/>
        </w:trPr>
        <w:tc>
          <w:tcPr>
            <w:tcW w:w="3000" w:type="dxa"/>
            <w:shd w:val="clear" w:color="auto" w:fill="F7F5F0"/>
          </w:tcPr>
          <w:p>
            <w:pPr>
              <w:spacing w:after="0"/>
            </w:pPr>
            <w:r>
              <w:rPr>
                <w:rFonts w:ascii="Calibri" w:hAnsi="Calibri"/>
                <w:b/>
                <w:sz w:val="18"/>
              </w:rPr>
              <w:t xml:space="preserve">Energy per vehicle per night</w:t>
            </w:r>
          </w:p>
        </w:tc>
        <w:tc>
          <w:tcPr>
            <w:tcW w:w="4300" w:type="dxa"/>
            <w:shd w:val="clear" w:color="auto" w:fill="F7F5F0"/>
          </w:tcPr>
          <w:p>
            <w:pPr>
              <w:spacing w:after="0"/>
            </w:pPr>
            <w:r>
              <w:rPr>
                <w:rFonts w:ascii="Calibri" w:hAnsi="Calibri"/>
                <w:sz w:val="18"/>
              </w:rPr>
              <w:t xml:space="preserve">5–8 kWh (H: 7–8 units); base 6.5</w:t>
            </w:r>
          </w:p>
        </w:tc>
        <w:tc>
          <w:tcPr>
            <w:tcW w:w="2606" w:type="dxa"/>
            <w:shd w:val="clear" w:color="auto" w:fill="F7F5F0"/>
          </w:tcPr>
          <w:p>
            <w:pPr>
              <w:spacing w:after="0"/>
            </w:pPr>
            <w:r>
              <w:rPr>
                <w:rFonts w:ascii="Calibri" w:hAnsi="Calibri"/>
                <w:sz w:val="18"/>
              </w:rPr>
              <w:t xml:space="preserve">FIELD (one driver) + simulator</w:t>
            </w:r>
          </w:p>
        </w:tc>
      </w:tr>
      <w:tr>
        <w:trPr>
          <w:cantSplit/>
        </w:trPr>
        <w:tc>
          <w:tcPr>
            <w:tcW w:w="3000" w:type="dxa"/>
            <w:shd w:val="clear" w:color="auto" w:fill="FFFFFF"/>
          </w:tcPr>
          <w:p>
            <w:pPr>
              <w:spacing w:after="0"/>
            </w:pPr>
            <w:r>
              <w:rPr>
                <w:rFonts w:ascii="Calibri" w:hAnsi="Calibri"/>
                <w:b/>
                <w:sz w:val="18"/>
              </w:rPr>
              <w:t xml:space="preserve">Vehicle cost</w:t>
            </w:r>
          </w:p>
        </w:tc>
        <w:tc>
          <w:tcPr>
            <w:tcW w:w="4300" w:type="dxa"/>
            <w:shd w:val="clear" w:color="auto" w:fill="FFFFFF"/>
          </w:tcPr>
          <w:p>
            <w:pPr>
              <w:spacing w:after="0"/>
            </w:pPr>
            <w:r>
              <w:rPr>
                <w:rFonts w:ascii="Calibri" w:hAnsi="Calibri"/>
                <w:sz w:val="18"/>
              </w:rPr>
              <w:t xml:space="preserve">₹1.45–2.0 lakh; base ₹1.6 lakh</w:t>
            </w:r>
          </w:p>
        </w:tc>
        <w:tc>
          <w:tcPr>
            <w:tcW w:w="2606" w:type="dxa"/>
            <w:shd w:val="clear" w:color="auto" w:fill="FFFFFF"/>
          </w:tcPr>
          <w:p>
            <w:pPr>
              <w:spacing w:after="0"/>
            </w:pPr>
            <w:r>
              <w:rPr>
                <w:rFonts w:ascii="Calibri" w:hAnsi="Calibri"/>
                <w:sz w:val="18"/>
              </w:rPr>
              <w:t xml:space="preserve">FIELD (E, H)</w:t>
            </w:r>
          </w:p>
        </w:tc>
      </w:tr>
      <w:tr>
        <w:trPr>
          <w:cantSplit/>
        </w:trPr>
        <w:tc>
          <w:tcPr>
            <w:tcW w:w="3000" w:type="dxa"/>
            <w:shd w:val="clear" w:color="auto" w:fill="F7F5F0"/>
          </w:tcPr>
          <w:p>
            <w:pPr>
              <w:spacing w:after="0"/>
            </w:pPr>
            <w:r>
              <w:rPr>
                <w:rFonts w:ascii="Calibri" w:hAnsi="Calibri"/>
                <w:b/>
                <w:sz w:val="18"/>
              </w:rPr>
              <w:t xml:space="preserve">Operating days a year</w:t>
            </w:r>
          </w:p>
        </w:tc>
        <w:tc>
          <w:tcPr>
            <w:tcW w:w="4300" w:type="dxa"/>
            <w:shd w:val="clear" w:color="auto" w:fill="F7F5F0"/>
          </w:tcPr>
          <w:p>
            <w:pPr>
              <w:spacing w:after="0"/>
            </w:pPr>
            <w:r>
              <w:rPr>
                <w:rFonts w:ascii="Calibri" w:hAnsi="Calibri"/>
                <w:sz w:val="18"/>
              </w:rPr>
              <w:t xml:space="preserve">330 base (280–340)</w:t>
            </w:r>
          </w:p>
        </w:tc>
        <w:tc>
          <w:tcPr>
            <w:tcW w:w="2606" w:type="dxa"/>
            <w:shd w:val="clear" w:color="auto" w:fill="F7F5F0"/>
          </w:tcPr>
          <w:p>
            <w:pPr>
              <w:spacing w:after="0"/>
            </w:pPr>
            <w:r>
              <w:rPr>
                <w:rFonts w:ascii="Calibri" w:hAnsi="Calibri"/>
                <w:sz w:val="18"/>
              </w:rPr>
              <w:t xml:space="preserve">ASSUMPTION</w:t>
            </w:r>
          </w:p>
        </w:tc>
      </w:tr>
      <w:tr>
        <w:trPr>
          <w:cantSplit/>
        </w:trPr>
        <w:tc>
          <w:tcPr>
            <w:tcW w:w="3000" w:type="dxa"/>
            <w:shd w:val="clear" w:color="auto" w:fill="FFFFFF"/>
          </w:tcPr>
          <w:p>
            <w:pPr>
              <w:spacing w:after="0"/>
            </w:pPr>
            <w:r>
              <w:rPr>
                <w:rFonts w:ascii="Calibri" w:hAnsi="Calibri"/>
                <w:b/>
                <w:sz w:val="18"/>
              </w:rPr>
              <w:t xml:space="preserve">Electricity tariff</w:t>
            </w:r>
          </w:p>
        </w:tc>
        <w:tc>
          <w:tcPr>
            <w:tcW w:w="4300" w:type="dxa"/>
            <w:shd w:val="clear" w:color="auto" w:fill="FFFFFF"/>
          </w:tcPr>
          <w:p>
            <w:pPr>
              <w:spacing w:after="0"/>
            </w:pPr>
            <w:r>
              <w:rPr>
                <w:rFonts w:ascii="Calibri" w:hAnsi="Calibri"/>
                <w:sz w:val="18"/>
              </w:rPr>
              <w:t xml:space="preserve">Domestic average ₹5.82; LMV-11 charging ₹7.70; non-domestic average ₹9.87 per kWh</w:t>
            </w:r>
          </w:p>
        </w:tc>
        <w:tc>
          <w:tcPr>
            <w:tcW w:w="2606" w:type="dxa"/>
            <w:shd w:val="clear" w:color="auto" w:fill="FFFFFF"/>
          </w:tcPr>
          <w:p>
            <w:pPr>
              <w:spacing w:after="0"/>
            </w:pPr>
            <w:r>
              <w:rPr>
                <w:rFonts w:ascii="Calibri" w:hAnsi="Calibri"/>
                <w:sz w:val="18"/>
              </w:rPr>
              <w:t xml:space="preserve">PUBLISHED (UPERC FY27 reports)</w:t>
            </w:r>
          </w:p>
        </w:tc>
      </w:tr>
      <w:tr>
        <w:trPr>
          <w:cantSplit/>
        </w:trPr>
        <w:tc>
          <w:tcPr>
            <w:tcW w:w="3000" w:type="dxa"/>
            <w:shd w:val="clear" w:color="auto" w:fill="F7F5F0"/>
          </w:tcPr>
          <w:p>
            <w:pPr>
              <w:spacing w:after="0"/>
            </w:pPr>
            <w:r>
              <w:rPr>
                <w:rFonts w:ascii="Calibri" w:hAnsi="Calibri"/>
                <w:b/>
                <w:sz w:val="18"/>
              </w:rPr>
              <w:t xml:space="preserve">Rooftop solar price, 3 kW</w:t>
            </w:r>
          </w:p>
        </w:tc>
        <w:tc>
          <w:tcPr>
            <w:tcW w:w="4300" w:type="dxa"/>
            <w:shd w:val="clear" w:color="auto" w:fill="F7F5F0"/>
          </w:tcPr>
          <w:p>
            <w:pPr>
              <w:spacing w:after="0"/>
            </w:pPr>
            <w:r>
              <w:rPr>
                <w:rFonts w:ascii="Calibri" w:hAnsi="Calibri"/>
                <w:sz w:val="18"/>
              </w:rPr>
              <w:t xml:space="preserve">₹2.1–2.3 lakh gross; ₹1.0–1.2 lakh after subsidy in Varanasi and Lucknow</w:t>
            </w:r>
          </w:p>
        </w:tc>
        <w:tc>
          <w:tcPr>
            <w:tcW w:w="2606" w:type="dxa"/>
            <w:shd w:val="clear" w:color="auto" w:fill="F7F5F0"/>
          </w:tcPr>
          <w:p>
            <w:pPr>
              <w:spacing w:after="0"/>
            </w:pPr>
            <w:r>
              <w:rPr>
                <w:rFonts w:ascii="Calibri" w:hAnsi="Calibri"/>
                <w:sz w:val="18"/>
              </w:rPr>
              <w:t xml:space="preserve">PUBLISHED (installer quotes)</w:t>
            </w:r>
          </w:p>
        </w:tc>
      </w:tr>
      <w:tr>
        <w:trPr>
          <w:cantSplit/>
        </w:trPr>
        <w:tc>
          <w:tcPr>
            <w:tcW w:w="3000" w:type="dxa"/>
            <w:shd w:val="clear" w:color="auto" w:fill="FFFFFF"/>
          </w:tcPr>
          <w:p>
            <w:pPr>
              <w:spacing w:after="0"/>
            </w:pPr>
            <w:r>
              <w:rPr>
                <w:rFonts w:ascii="Calibri" w:hAnsi="Calibri"/>
                <w:b/>
                <w:sz w:val="18"/>
              </w:rPr>
              <w:t xml:space="preserve">Solar yield, Varanasi</w:t>
            </w:r>
          </w:p>
        </w:tc>
        <w:tc>
          <w:tcPr>
            <w:tcW w:w="4300" w:type="dxa"/>
            <w:shd w:val="clear" w:color="auto" w:fill="FFFFFF"/>
          </w:tcPr>
          <w:p>
            <w:pPr>
              <w:spacing w:after="0"/>
            </w:pPr>
            <w:r>
              <w:rPr>
                <w:rFonts w:ascii="Calibri" w:hAnsi="Calibri"/>
                <w:sz w:val="18"/>
              </w:rPr>
              <w:t xml:space="preserve">1,400–1,800 kWh per kW a year; seasonal 3.7–6.3 kWh per kW a day</w:t>
            </w:r>
          </w:p>
        </w:tc>
        <w:tc>
          <w:tcPr>
            <w:tcW w:w="2606" w:type="dxa"/>
            <w:shd w:val="clear" w:color="auto" w:fill="FFFFFF"/>
          </w:tcPr>
          <w:p>
            <w:pPr>
              <w:spacing w:after="0"/>
            </w:pPr>
            <w:r>
              <w:rPr>
                <w:rFonts w:ascii="Calibri" w:hAnsi="Calibri"/>
                <w:sz w:val="18"/>
              </w:rPr>
              <w:t xml:space="preserve">PUBLISHED (NASA POWER model, UNI)</w:t>
            </w:r>
          </w:p>
        </w:tc>
      </w:tr>
      <w:tr>
        <w:trPr>
          <w:cantSplit/>
        </w:trPr>
        <w:tc>
          <w:tcPr>
            <w:tcW w:w="3000" w:type="dxa"/>
            <w:shd w:val="clear" w:color="auto" w:fill="F7F5F0"/>
          </w:tcPr>
          <w:p>
            <w:pPr>
              <w:spacing w:after="0"/>
            </w:pPr>
            <w:r>
              <w:rPr>
                <w:rFonts w:ascii="Calibri" w:hAnsi="Calibri"/>
                <w:b/>
                <w:sz w:val="18"/>
              </w:rPr>
              <w:t xml:space="preserve">Varanasi e-rickshaw registrations</w:t>
            </w:r>
          </w:p>
        </w:tc>
        <w:tc>
          <w:tcPr>
            <w:tcW w:w="4300" w:type="dxa"/>
            <w:shd w:val="clear" w:color="auto" w:fill="F7F5F0"/>
          </w:tcPr>
          <w:p>
            <w:pPr>
              <w:spacing w:after="0"/>
            </w:pPr>
            <w:r>
              <w:rPr>
                <w:rFonts w:ascii="Calibri" w:hAnsi="Calibri"/>
                <w:sz w:val="18"/>
              </w:rPr>
              <w:t xml:space="preserve">4,026 (2022), 7,238 (2023), 5,752 (2024)</w:t>
            </w:r>
          </w:p>
        </w:tc>
        <w:tc>
          <w:tcPr>
            <w:tcW w:w="2606" w:type="dxa"/>
            <w:shd w:val="clear" w:color="auto" w:fill="F7F5F0"/>
          </w:tcPr>
          <w:p>
            <w:pPr>
              <w:spacing w:after="0"/>
            </w:pPr>
            <w:r>
              <w:rPr>
                <w:rFonts w:ascii="Calibri" w:hAnsi="Calibri"/>
                <w:sz w:val="18"/>
              </w:rPr>
              <w:t xml:space="preserve">PUBLISHED (Down To Earth)</w:t>
            </w:r>
          </w:p>
        </w:tc>
      </w:tr>
      <w:tr>
        <w:trPr>
          <w:cantSplit/>
        </w:trPr>
        <w:tc>
          <w:tcPr>
            <w:tcW w:w="3000" w:type="dxa"/>
            <w:shd w:val="clear" w:color="auto" w:fill="FFFFFF"/>
          </w:tcPr>
          <w:p>
            <w:pPr>
              <w:spacing w:after="0"/>
            </w:pPr>
            <w:r>
              <w:rPr>
                <w:rFonts w:ascii="Calibri" w:hAnsi="Calibri"/>
                <w:b/>
                <w:sz w:val="18"/>
              </w:rPr>
              <w:t xml:space="preserve">UP e-rickshaws registered</w:t>
            </w:r>
          </w:p>
        </w:tc>
        <w:tc>
          <w:tcPr>
            <w:tcW w:w="4300" w:type="dxa"/>
            <w:shd w:val="clear" w:color="auto" w:fill="FFFFFF"/>
          </w:tcPr>
          <w:p>
            <w:pPr>
              <w:spacing w:after="0"/>
            </w:pPr>
            <w:r>
              <w:rPr>
                <w:rFonts w:ascii="Calibri" w:hAnsi="Calibri"/>
                <w:sz w:val="18"/>
              </w:rPr>
              <w:t xml:space="preserve">8,60,054</w:t>
            </w:r>
          </w:p>
        </w:tc>
        <w:tc>
          <w:tcPr>
            <w:tcW w:w="2606" w:type="dxa"/>
            <w:shd w:val="clear" w:color="auto" w:fill="FFFFFF"/>
          </w:tcPr>
          <w:p>
            <w:pPr>
              <w:spacing w:after="0"/>
            </w:pPr>
            <w:r>
              <w:rPr>
                <w:rFonts w:ascii="Calibri" w:hAnsi="Calibri"/>
                <w:sz w:val="18"/>
              </w:rPr>
              <w:t xml:space="preserve">PUBLISHED (Rajya Sabha reply, Mar 2025)</w:t>
            </w:r>
          </w:p>
        </w:tc>
      </w:tr>
      <w:tr>
        <w:trPr>
          <w:cantSplit/>
        </w:trPr>
        <w:tc>
          <w:tcPr>
            <w:tcW w:w="3000" w:type="dxa"/>
            <w:shd w:val="clear" w:color="auto" w:fill="F7F5F0"/>
          </w:tcPr>
          <w:p>
            <w:pPr>
              <w:spacing w:after="0"/>
            </w:pPr>
            <w:r>
              <w:rPr>
                <w:rFonts w:ascii="Calibri" w:hAnsi="Calibri"/>
                <w:b/>
                <w:sz w:val="18"/>
              </w:rPr>
              <w:t xml:space="preserve">Battery prices</w:t>
            </w:r>
          </w:p>
        </w:tc>
        <w:tc>
          <w:tcPr>
            <w:tcW w:w="4300" w:type="dxa"/>
            <w:shd w:val="clear" w:color="auto" w:fill="F7F5F0"/>
          </w:tcPr>
          <w:p>
            <w:pPr>
              <w:spacing w:after="0"/>
            </w:pPr>
            <w:r>
              <w:rPr>
                <w:rFonts w:ascii="Calibri" w:hAnsi="Calibri"/>
                <w:sz w:val="18"/>
              </w:rPr>
              <w:t xml:space="preserve">LFP ₹20,000–35,000 and lead-acid ₹8,000–15,000 per kWh (general solar-storage guide)</w:t>
            </w:r>
          </w:p>
        </w:tc>
        <w:tc>
          <w:tcPr>
            <w:tcW w:w="2606" w:type="dxa"/>
            <w:shd w:val="clear" w:color="auto" w:fill="F7F5F0"/>
          </w:tcPr>
          <w:p>
            <w:pPr>
              <w:spacing w:after="0"/>
            </w:pPr>
            <w:r>
              <w:rPr>
                <w:rFonts w:ascii="Calibri" w:hAnsi="Calibri"/>
                <w:sz w:val="18"/>
              </w:rPr>
              <w:t xml:space="preserve">PUBLISHED, indicative</w:t>
            </w:r>
          </w:p>
        </w:tc>
      </w:tr>
    </w:tbl>
    <w:p>
      <w:pPr>
        <w:spacing w:after="140"/>
      </w:pPr>
      <w:r>
        <w:rPr>
          <w:rFonts w:ascii="Calibri" w:hAnsi="Calibri"/>
          <w:sz w:val="22"/>
        </w:rPr>
        <w:t xml:space="preserve"/>
      </w:r>
    </w:p>
    <w:p>
      <w:pPr>
        <w:pStyle w:val="Heading1"/>
        <w:keepNext/>
        <w:spacing w:after="100"/>
      </w:pPr>
      <w:r>
        <w:rPr>
          <w:rFonts w:ascii="Calibri" w:hAnsi="Calibri"/>
          <w:b/>
          <w:color w:val="171A20"/>
          <w:sz w:val="30"/>
        </w:rPr>
        <w:t xml:space="preserve">2. Subsidies and incentives: what applies to a garage</w:t>
      </w:r>
    </w:p>
    <w:p>
      <w:pPr>
        <w:spacing w:after="120"/>
      </w:pPr>
      <w:r>
        <w:rPr>
          <w:rFonts w:ascii="Calibri" w:hAnsi="Calibri"/>
          <w:color w:val="4A4F57"/>
          <w:sz w:val="20"/>
        </w:rPr>
        <w:t xml:space="preserve">The garages are small quarters, so the key question is the electricity connection type. PM Surya Ghar is for residential consumers; charging schemes are for public stations.</w:t>
      </w:r>
    </w:p>
    <w:tbl>
      <w:tblPr>
        <w:tblW w:w="9906" w:type="dxa"/>
        <w:tblBorders>
          <w:top w:val="single" w:sz="4" w:color="D6D2C7"/>
          <w:left w:val="single" w:sz="4" w:color="D6D2C7"/>
          <w:bottom w:val="single" w:sz="4" w:color="D6D2C7"/>
          <w:right w:val="single" w:sz="4" w:color="D6D2C7"/>
          <w:insideH w:val="single" w:sz="4" w:color="D6D2C7"/>
          <w:insideV w:val="single" w:sz="4" w:color="D6D2C7"/>
        </w:tblBorders>
        <w:tblLayout w:type="fixed"/>
        <w:tblCellMar>
          <w:top w:w="55" w:type="dxa"/>
          <w:left w:w="90" w:type="dxa"/>
          <w:bottom w:w="55" w:type="dxa"/>
          <w:right w:w="90" w:type="dxa"/>
        </w:tblCellMar>
      </w:tblPr>
      <w:tblGrid>
        <w:gridCol w:w="1900"/>
        <w:gridCol w:w="3300"/>
        <w:gridCol w:w="3000"/>
        <w:gridCol w:w="1706"/>
      </w:tblGrid>
      <w:tr>
        <w:trPr>
          <w:cantSplit/>
          <w:tblHeader/>
        </w:trPr>
        <w:tc>
          <w:tcPr>
            <w:tcW w:w="1900" w:type="dxa"/>
            <w:shd w:val="clear" w:color="auto" w:fill="E3DFD6"/>
          </w:tcPr>
          <w:p>
            <w:pPr>
              <w:spacing w:after="0"/>
            </w:pPr>
            <w:r>
              <w:rPr>
                <w:rFonts w:ascii="Calibri" w:hAnsi="Calibri"/>
                <w:b/>
                <w:sz w:val="17"/>
              </w:rPr>
              <w:t xml:space="preserve">Scheme</w:t>
            </w:r>
          </w:p>
        </w:tc>
        <w:tc>
          <w:tcPr>
            <w:tcW w:w="3300" w:type="dxa"/>
            <w:shd w:val="clear" w:color="auto" w:fill="E3DFD6"/>
          </w:tcPr>
          <w:p>
            <w:pPr>
              <w:spacing w:after="0"/>
            </w:pPr>
            <w:r>
              <w:rPr>
                <w:rFonts w:ascii="Calibri" w:hAnsi="Calibri"/>
                <w:b/>
                <w:sz w:val="17"/>
              </w:rPr>
              <w:t xml:space="preserve">What it gives</w:t>
            </w:r>
          </w:p>
        </w:tc>
        <w:tc>
          <w:tcPr>
            <w:tcW w:w="3000" w:type="dxa"/>
            <w:shd w:val="clear" w:color="auto" w:fill="E3DFD6"/>
          </w:tcPr>
          <w:p>
            <w:pPr>
              <w:spacing w:after="0"/>
            </w:pPr>
            <w:r>
              <w:rPr>
                <w:rFonts w:ascii="Calibri" w:hAnsi="Calibri"/>
                <w:b/>
                <w:sz w:val="17"/>
              </w:rPr>
              <w:t xml:space="preserve">Applies to our garage?</w:t>
            </w:r>
          </w:p>
        </w:tc>
        <w:tc>
          <w:tcPr>
            <w:tcW w:w="1706" w:type="dxa"/>
            <w:shd w:val="clear" w:color="auto" w:fill="E3DFD6"/>
          </w:tcPr>
          <w:p>
            <w:pPr>
              <w:spacing w:after="0"/>
            </w:pPr>
            <w:r>
              <w:rPr>
                <w:rFonts w:ascii="Calibri" w:hAnsi="Calibri"/>
                <w:b/>
                <w:sz w:val="17"/>
              </w:rPr>
              <w:t xml:space="preserve">In the model</w:t>
            </w:r>
          </w:p>
        </w:tc>
      </w:tr>
      <w:tr>
        <w:trPr>
          <w:cantSplit/>
        </w:trPr>
        <w:tc>
          <w:tcPr>
            <w:tcW w:w="1900" w:type="dxa"/>
            <w:shd w:val="clear" w:color="auto" w:fill="FFFFFF"/>
          </w:tcPr>
          <w:p>
            <w:pPr>
              <w:spacing w:after="0"/>
            </w:pPr>
            <w:r>
              <w:rPr>
                <w:rFonts w:ascii="Calibri" w:hAnsi="Calibri"/>
                <w:b/>
                <w:sz w:val="17"/>
              </w:rPr>
              <w:t xml:space="preserve">PM Surya Ghar (central)</w:t>
            </w:r>
          </w:p>
        </w:tc>
        <w:tc>
          <w:tcPr>
            <w:tcW w:w="3300" w:type="dxa"/>
            <w:shd w:val="clear" w:color="auto" w:fill="FFFFFF"/>
          </w:tcPr>
          <w:p>
            <w:pPr>
              <w:spacing w:after="0"/>
            </w:pPr>
            <w:r>
              <w:rPr>
                <w:rFonts w:ascii="Calibri" w:hAnsi="Calibri"/>
                <w:sz w:val="17"/>
              </w:rPr>
              <w:t xml:space="preserve">₹30,000 per kW for the first 2 kW and ₹18,000 for the third: ₹78,000 maximum, paid after inspection into the owner's bank account</w:t>
            </w:r>
          </w:p>
        </w:tc>
        <w:tc>
          <w:tcPr>
            <w:tcW w:w="3000" w:type="dxa"/>
            <w:shd w:val="clear" w:color="auto" w:fill="FFFFFF"/>
          </w:tcPr>
          <w:p>
            <w:pPr>
              <w:spacing w:after="0"/>
            </w:pPr>
            <w:r>
              <w:rPr>
                <w:rFonts w:ascii="Calibri" w:hAnsi="Calibri"/>
                <w:sz w:val="17"/>
              </w:rPr>
              <w:t xml:space="preserve">Yes, if the connection is domestic, the owner owns the roof and the meter is in the owner's name. Verify.</w:t>
            </w:r>
          </w:p>
        </w:tc>
        <w:tc>
          <w:tcPr>
            <w:tcW w:w="1706" w:type="dxa"/>
            <w:shd w:val="clear" w:color="auto" w:fill="FFFFFF"/>
          </w:tcPr>
          <w:p>
            <w:pPr>
              <w:spacing w:after="0"/>
            </w:pPr>
            <w:r>
              <w:rPr>
                <w:rFonts w:ascii="Calibri" w:hAnsi="Calibri"/>
                <w:sz w:val="17"/>
              </w:rPr>
              <w:t xml:space="preserve">Yes: ₹78,000</w:t>
            </w:r>
          </w:p>
        </w:tc>
      </w:tr>
      <w:tr>
        <w:trPr>
          <w:cantSplit/>
        </w:trPr>
        <w:tc>
          <w:tcPr>
            <w:tcW w:w="1900" w:type="dxa"/>
            <w:shd w:val="clear" w:color="auto" w:fill="F7F5F0"/>
          </w:tcPr>
          <w:p>
            <w:pPr>
              <w:spacing w:after="0"/>
            </w:pPr>
            <w:r>
              <w:rPr>
                <w:rFonts w:ascii="Calibri" w:hAnsi="Calibri"/>
                <w:b/>
                <w:sz w:val="17"/>
              </w:rPr>
              <w:t xml:space="preserve">UP state top-up for rooftop solar</w:t>
            </w:r>
          </w:p>
        </w:tc>
        <w:tc>
          <w:tcPr>
            <w:tcW w:w="3300" w:type="dxa"/>
            <w:shd w:val="clear" w:color="auto" w:fill="F7F5F0"/>
          </w:tcPr>
          <w:p>
            <w:pPr>
              <w:spacing w:after="0"/>
            </w:pPr>
            <w:r>
              <w:rPr>
                <w:rFonts w:ascii="Calibri" w:hAnsi="Calibri"/>
                <w:sz w:val="17"/>
              </w:rPr>
              <w:t xml:space="preserve">Reported at ₹30,000 (older report: ₹15,000 per kW up to ₹30,000); installers say it is often not filed in western UP</w:t>
            </w:r>
          </w:p>
        </w:tc>
        <w:tc>
          <w:tcPr>
            <w:tcW w:w="3000" w:type="dxa"/>
            <w:shd w:val="clear" w:color="auto" w:fill="F7F5F0"/>
          </w:tcPr>
          <w:p>
            <w:pPr>
              <w:spacing w:after="0"/>
            </w:pPr>
            <w:r>
              <w:rPr>
                <w:rFonts w:ascii="Calibri" w:hAnsi="Calibri"/>
                <w:sz w:val="17"/>
              </w:rPr>
              <w:t xml:space="preserve">Same eligibility. Amount not confirmed by an official notice found.</w:t>
            </w:r>
          </w:p>
        </w:tc>
        <w:tc>
          <w:tcPr>
            <w:tcW w:w="1706" w:type="dxa"/>
            <w:shd w:val="clear" w:color="auto" w:fill="F7F5F0"/>
          </w:tcPr>
          <w:p>
            <w:pPr>
              <w:spacing w:after="0"/>
            </w:pPr>
            <w:r>
              <w:rPr>
                <w:rFonts w:ascii="Calibri" w:hAnsi="Calibri"/>
                <w:sz w:val="17"/>
              </w:rPr>
              <w:t xml:space="preserve">Base yes, conservative no</w:t>
            </w:r>
          </w:p>
        </w:tc>
      </w:tr>
      <w:tr>
        <w:trPr>
          <w:cantSplit/>
        </w:trPr>
        <w:tc>
          <w:tcPr>
            <w:tcW w:w="1900" w:type="dxa"/>
            <w:shd w:val="clear" w:color="auto" w:fill="FFFFFF"/>
          </w:tcPr>
          <w:p>
            <w:pPr>
              <w:spacing w:after="0"/>
            </w:pPr>
            <w:r>
              <w:rPr>
                <w:rFonts w:ascii="Calibri" w:hAnsi="Calibri"/>
                <w:b/>
                <w:sz w:val="17"/>
              </w:rPr>
              <w:t xml:space="preserve">Net metering (UP)</w:t>
            </w:r>
          </w:p>
        </w:tc>
        <w:tc>
          <w:tcPr>
            <w:tcW w:w="3300" w:type="dxa"/>
            <w:shd w:val="clear" w:color="auto" w:fill="FFFFFF"/>
          </w:tcPr>
          <w:p>
            <w:pPr>
              <w:spacing w:after="0"/>
            </w:pPr>
            <w:r>
              <w:rPr>
                <w:rFonts w:ascii="Calibri" w:hAnsi="Calibri"/>
                <w:sz w:val="17"/>
              </w:rPr>
              <w:t xml:space="preserve">Export by day, import at night; annual settlement reported. A ₹3.00 surplus rate was reported without a citation.</w:t>
            </w:r>
          </w:p>
        </w:tc>
        <w:tc>
          <w:tcPr>
            <w:tcW w:w="3000" w:type="dxa"/>
            <w:shd w:val="clear" w:color="auto" w:fill="FFFFFF"/>
          </w:tcPr>
          <w:p>
            <w:pPr>
              <w:spacing w:after="0"/>
            </w:pPr>
            <w:r>
              <w:rPr>
                <w:rFonts w:ascii="Calibri" w:hAnsi="Calibri"/>
                <w:sz w:val="17"/>
              </w:rPr>
              <w:t xml:space="preserve">Yes, once solar is installed. Banking terms must be confirmed with the DISCOM.</w:t>
            </w:r>
          </w:p>
        </w:tc>
        <w:tc>
          <w:tcPr>
            <w:tcW w:w="1706" w:type="dxa"/>
            <w:shd w:val="clear" w:color="auto" w:fill="FFFFFF"/>
          </w:tcPr>
          <w:p>
            <w:pPr>
              <w:spacing w:after="0"/>
            </w:pPr>
            <w:r>
              <w:rPr>
                <w:rFonts w:ascii="Calibri" w:hAnsi="Calibri"/>
                <w:sz w:val="17"/>
              </w:rPr>
              <w:t xml:space="preserve">Assumed full retail offset</w:t>
            </w:r>
          </w:p>
        </w:tc>
      </w:tr>
      <w:tr>
        <w:trPr>
          <w:cantSplit/>
        </w:trPr>
        <w:tc>
          <w:tcPr>
            <w:tcW w:w="1900" w:type="dxa"/>
            <w:shd w:val="clear" w:color="auto" w:fill="F7F5F0"/>
          </w:tcPr>
          <w:p>
            <w:pPr>
              <w:spacing w:after="0"/>
            </w:pPr>
            <w:r>
              <w:rPr>
                <w:rFonts w:ascii="Calibri" w:hAnsi="Calibri"/>
                <w:b/>
                <w:sz w:val="17"/>
              </w:rPr>
              <w:t xml:space="preserve">PM E-DRIVE: e-rickshaw purchase</w:t>
            </w:r>
          </w:p>
        </w:tc>
        <w:tc>
          <w:tcPr>
            <w:tcW w:w="3300" w:type="dxa"/>
            <w:shd w:val="clear" w:color="auto" w:fill="F7F5F0"/>
          </w:tcPr>
          <w:p>
            <w:pPr>
              <w:spacing w:after="0"/>
            </w:pPr>
            <w:r>
              <w:rPr>
                <w:rFonts w:ascii="Calibri" w:hAnsi="Calibri"/>
                <w:sz w:val="17"/>
              </w:rPr>
              <w:t xml:space="preserve">Extended to March 2028 for e-rickshaws and carts; reported ₹5,000 per kWh capped at ₹25,000, halved from April 2025, funding cut. Sources conflict.</w:t>
            </w:r>
          </w:p>
        </w:tc>
        <w:tc>
          <w:tcPr>
            <w:tcW w:w="3000" w:type="dxa"/>
            <w:shd w:val="clear" w:color="auto" w:fill="F7F5F0"/>
          </w:tcPr>
          <w:p>
            <w:pPr>
              <w:spacing w:after="0"/>
            </w:pPr>
            <w:r>
              <w:rPr>
                <w:rFonts w:ascii="Calibri" w:hAnsi="Calibri"/>
                <w:sz w:val="17"/>
              </w:rPr>
              <w:t xml:space="preserve">Only for new vehicle purchases, not for charging. Helps owners buying vehicles.</w:t>
            </w:r>
          </w:p>
        </w:tc>
        <w:tc>
          <w:tcPr>
            <w:tcW w:w="1706" w:type="dxa"/>
            <w:shd w:val="clear" w:color="auto" w:fill="F7F5F0"/>
          </w:tcPr>
          <w:p>
            <w:pPr>
              <w:spacing w:after="0"/>
            </w:pPr>
            <w:r>
              <w:rPr>
                <w:rFonts w:ascii="Calibri" w:hAnsi="Calibri"/>
                <w:sz w:val="17"/>
              </w:rPr>
              <w:t xml:space="preserve">No</w:t>
            </w:r>
          </w:p>
        </w:tc>
      </w:tr>
      <w:tr>
        <w:trPr>
          <w:cantSplit/>
        </w:trPr>
        <w:tc>
          <w:tcPr>
            <w:tcW w:w="1900" w:type="dxa"/>
            <w:shd w:val="clear" w:color="auto" w:fill="FFFFFF"/>
          </w:tcPr>
          <w:p>
            <w:pPr>
              <w:spacing w:after="0"/>
            </w:pPr>
            <w:r>
              <w:rPr>
                <w:rFonts w:ascii="Calibri" w:hAnsi="Calibri"/>
                <w:b/>
                <w:sz w:val="17"/>
              </w:rPr>
              <w:t xml:space="preserve">PM E-DRIVE: public charging</w:t>
            </w:r>
          </w:p>
        </w:tc>
        <w:tc>
          <w:tcPr>
            <w:tcW w:w="3300" w:type="dxa"/>
            <w:shd w:val="clear" w:color="auto" w:fill="FFFFFF"/>
          </w:tcPr>
          <w:p>
            <w:pPr>
              <w:spacing w:after="0"/>
            </w:pPr>
            <w:r>
              <w:rPr>
                <w:rFonts w:ascii="Calibri" w:hAnsi="Calibri"/>
                <w:sz w:val="17"/>
              </w:rPr>
              <w:t xml:space="preserve">₹2,000 crore for 72,300 public chargers; 80% of upstream infrastructure, 70% of charger cost at some sites. Eligible bodies are government ministries, state governments and public-sector bodies.</w:t>
            </w:r>
          </w:p>
        </w:tc>
        <w:tc>
          <w:tcPr>
            <w:tcW w:w="3000" w:type="dxa"/>
            <w:shd w:val="clear" w:color="auto" w:fill="FFFFFF"/>
          </w:tcPr>
          <w:p>
            <w:pPr>
              <w:spacing w:after="0"/>
            </w:pPr>
            <w:r>
              <w:rPr>
                <w:rFonts w:ascii="Calibri" w:hAnsi="Calibri"/>
                <w:sz w:val="17"/>
              </w:rPr>
              <w:t xml:space="preserve">No. A private garage is not an eligible applicant.</w:t>
            </w:r>
          </w:p>
        </w:tc>
        <w:tc>
          <w:tcPr>
            <w:tcW w:w="1706" w:type="dxa"/>
            <w:shd w:val="clear" w:color="auto" w:fill="FFFFFF"/>
          </w:tcPr>
          <w:p>
            <w:pPr>
              <w:spacing w:after="0"/>
            </w:pPr>
            <w:r>
              <w:rPr>
                <w:rFonts w:ascii="Calibri" w:hAnsi="Calibri"/>
                <w:sz w:val="17"/>
              </w:rPr>
              <w:t xml:space="preserve">No</w:t>
            </w:r>
          </w:p>
        </w:tc>
      </w:tr>
      <w:tr>
        <w:trPr>
          <w:cantSplit/>
        </w:trPr>
        <w:tc>
          <w:tcPr>
            <w:tcW w:w="1900" w:type="dxa"/>
            <w:shd w:val="clear" w:color="auto" w:fill="F7F5F0"/>
          </w:tcPr>
          <w:p>
            <w:pPr>
              <w:spacing w:after="0"/>
            </w:pPr>
            <w:r>
              <w:rPr>
                <w:rFonts w:ascii="Calibri" w:hAnsi="Calibri"/>
                <w:b/>
                <w:sz w:val="17"/>
              </w:rPr>
              <w:t xml:space="preserve">UP EV policy 2022: charging stations</w:t>
            </w:r>
          </w:p>
        </w:tc>
        <w:tc>
          <w:tcPr>
            <w:tcW w:w="3300" w:type="dxa"/>
            <w:shd w:val="clear" w:color="auto" w:fill="F7F5F0"/>
          </w:tcPr>
          <w:p>
            <w:pPr>
              <w:spacing w:after="0"/>
            </w:pPr>
            <w:r>
              <w:rPr>
                <w:rFonts w:ascii="Calibri" w:hAnsi="Calibri"/>
                <w:sz w:val="17"/>
              </w:rPr>
              <w:t xml:space="preserve">20% capital subsidy up to ₹10 lakh per station, with a minimum ₹25 lakh investment</w:t>
            </w:r>
          </w:p>
        </w:tc>
        <w:tc>
          <w:tcPr>
            <w:tcW w:w="3000" w:type="dxa"/>
            <w:shd w:val="clear" w:color="auto" w:fill="F7F5F0"/>
          </w:tcPr>
          <w:p>
            <w:pPr>
              <w:spacing w:after="0"/>
            </w:pPr>
            <w:r>
              <w:rPr>
                <w:rFonts w:ascii="Calibri" w:hAnsi="Calibri"/>
                <w:sz w:val="17"/>
              </w:rPr>
              <w:t xml:space="preserve">No. Far above a garage's investment.</w:t>
            </w:r>
          </w:p>
        </w:tc>
        <w:tc>
          <w:tcPr>
            <w:tcW w:w="1706" w:type="dxa"/>
            <w:shd w:val="clear" w:color="auto" w:fill="F7F5F0"/>
          </w:tcPr>
          <w:p>
            <w:pPr>
              <w:spacing w:after="0"/>
            </w:pPr>
            <w:r>
              <w:rPr>
                <w:rFonts w:ascii="Calibri" w:hAnsi="Calibri"/>
                <w:sz w:val="17"/>
              </w:rPr>
              <w:t xml:space="preserve">No</w:t>
            </w:r>
          </w:p>
        </w:tc>
      </w:tr>
      <w:tr>
        <w:trPr>
          <w:cantSplit/>
        </w:trPr>
        <w:tc>
          <w:tcPr>
            <w:tcW w:w="1900" w:type="dxa"/>
            <w:shd w:val="clear" w:color="auto" w:fill="FFFFFF"/>
          </w:tcPr>
          <w:p>
            <w:pPr>
              <w:spacing w:after="0"/>
            </w:pPr>
            <w:r>
              <w:rPr>
                <w:rFonts w:ascii="Calibri" w:hAnsi="Calibri"/>
                <w:b/>
                <w:sz w:val="17"/>
              </w:rPr>
              <w:t xml:space="preserve">UP purchase subsidy and tax waiver</w:t>
            </w:r>
          </w:p>
        </w:tc>
        <w:tc>
          <w:tcPr>
            <w:tcW w:w="3300" w:type="dxa"/>
            <w:shd w:val="clear" w:color="auto" w:fill="FFFFFF"/>
          </w:tcPr>
          <w:p>
            <w:pPr>
              <w:spacing w:after="0"/>
            </w:pPr>
            <w:r>
              <w:rPr>
                <w:rFonts w:ascii="Calibri" w:hAnsi="Calibri"/>
                <w:sz w:val="17"/>
              </w:rPr>
              <w:t xml:space="preserve">3-wheeler purchase subsidy (15%, up to ₹12,000) reported ended in October 2023; road-tax and registration rules changed in 2025</w:t>
            </w:r>
          </w:p>
        </w:tc>
        <w:tc>
          <w:tcPr>
            <w:tcW w:w="3000" w:type="dxa"/>
            <w:shd w:val="clear" w:color="auto" w:fill="FFFFFF"/>
          </w:tcPr>
          <w:p>
            <w:pPr>
              <w:spacing w:after="0"/>
            </w:pPr>
            <w:r>
              <w:rPr>
                <w:rFonts w:ascii="Calibri" w:hAnsi="Calibri"/>
                <w:sz w:val="17"/>
              </w:rPr>
              <w:t xml:space="preserve">Not for charging. Unclear.</w:t>
            </w:r>
          </w:p>
        </w:tc>
        <w:tc>
          <w:tcPr>
            <w:tcW w:w="1706" w:type="dxa"/>
            <w:shd w:val="clear" w:color="auto" w:fill="FFFFFF"/>
          </w:tcPr>
          <w:p>
            <w:pPr>
              <w:spacing w:after="0"/>
            </w:pPr>
            <w:r>
              <w:rPr>
                <w:rFonts w:ascii="Calibri" w:hAnsi="Calibri"/>
                <w:sz w:val="17"/>
              </w:rPr>
              <w:t xml:space="preserve">No</w:t>
            </w:r>
          </w:p>
        </w:tc>
      </w:tr>
      <w:tr>
        <w:trPr>
          <w:cantSplit/>
        </w:trPr>
        <w:tc>
          <w:tcPr>
            <w:tcW w:w="1900" w:type="dxa"/>
            <w:shd w:val="clear" w:color="auto" w:fill="F7F5F0"/>
          </w:tcPr>
          <w:p>
            <w:pPr>
              <w:spacing w:after="0"/>
            </w:pPr>
            <w:r>
              <w:rPr>
                <w:rFonts w:ascii="Calibri" w:hAnsi="Calibri"/>
                <w:b/>
                <w:sz w:val="17"/>
              </w:rPr>
              <w:t xml:space="preserve">'Morning charging' subsidy from our notes</w:t>
            </w:r>
          </w:p>
        </w:tc>
        <w:tc>
          <w:tcPr>
            <w:tcW w:w="3300" w:type="dxa"/>
            <w:shd w:val="clear" w:color="auto" w:fill="F7F5F0"/>
          </w:tcPr>
          <w:p>
            <w:pPr>
              <w:spacing w:after="0"/>
            </w:pPr>
            <w:r>
              <w:rPr>
                <w:rFonts w:ascii="Calibri" w:hAnsi="Calibri"/>
                <w:sz w:val="17"/>
              </w:rPr>
              <w:t xml:space="preserve">We could not find a UP time-of-day or morning subsidy for EV charging</w:t>
            </w:r>
          </w:p>
        </w:tc>
        <w:tc>
          <w:tcPr>
            <w:tcW w:w="3000" w:type="dxa"/>
            <w:shd w:val="clear" w:color="auto" w:fill="F7F5F0"/>
          </w:tcPr>
          <w:p>
            <w:pPr>
              <w:spacing w:after="0"/>
            </w:pPr>
            <w:r>
              <w:rPr>
                <w:rFonts w:ascii="Calibri" w:hAnsi="Calibri"/>
                <w:sz w:val="17"/>
              </w:rPr>
              <w:t xml:space="preserve">Unknown. Ask UPPCL or the owner.</w:t>
            </w:r>
          </w:p>
        </w:tc>
        <w:tc>
          <w:tcPr>
            <w:tcW w:w="1706" w:type="dxa"/>
            <w:shd w:val="clear" w:color="auto" w:fill="F7F5F0"/>
          </w:tcPr>
          <w:p>
            <w:pPr>
              <w:spacing w:after="0"/>
            </w:pPr>
            <w:r>
              <w:rPr>
                <w:rFonts w:ascii="Calibri" w:hAnsi="Calibri"/>
                <w:sz w:val="17"/>
              </w:rPr>
              <w:t xml:space="preserve">No</w:t>
            </w:r>
          </w:p>
        </w:tc>
      </w:tr>
    </w:tbl>
    <w:p>
      <w:pPr>
        <w:spacing w:after="140"/>
      </w:pPr>
      <w:r>
        <w:rPr>
          <w:rFonts w:ascii="Calibri" w:hAnsi="Calibri"/>
          <w:sz w:val="22"/>
        </w:rPr>
        <w:t xml:space="preserve"/>
      </w:r>
    </w:p>
    <w:p>
      <w:pPr>
        <w:spacing w:after="180"/>
      </w:pPr>
      <w:r>
        <w:rPr>
          <w:rFonts w:ascii="Calibri" w:hAnsi="Calibri"/>
          <w:i/>
          <w:color w:val="6B7078"/>
          <w:sz w:val="18"/>
        </w:rPr>
        <w:t xml:space="preserve">Only PM Surya Ghar, its UP top-up and net metering are counted. Everything else is excluded rather than assumed.</w:t>
      </w:r>
    </w:p>
    <w:p>
      <w:pPr>
        <w:pStyle w:val="Heading1"/>
        <w:keepNext/>
        <w:spacing w:after="100"/>
      </w:pPr>
      <w:r>
        <w:rPr>
          <w:rFonts w:ascii="Calibri" w:hAnsi="Calibri"/>
          <w:b/>
          <w:color w:val="171A20"/>
          <w:sz w:val="30"/>
        </w:rPr>
        <w:t xml:space="preserve">3. Garage owner: unit economics per vehicle</w:t>
      </w:r>
    </w:p>
    <w:tbl>
      <w:tblPr>
        <w:tblW w:w="9906" w:type="dxa"/>
        <w:tblBorders>
          <w:top w:val="single" w:sz="4" w:color="D6D2C7"/>
          <w:left w:val="single" w:sz="4" w:color="D6D2C7"/>
          <w:bottom w:val="single" w:sz="4" w:color="D6D2C7"/>
          <w:right w:val="single" w:sz="4" w:color="D6D2C7"/>
          <w:insideH w:val="single" w:sz="4" w:color="D6D2C7"/>
          <w:insideV w:val="single" w:sz="4" w:color="D6D2C7"/>
        </w:tblBorders>
        <w:tblLayout w:type="fixed"/>
        <w:tblCellMar>
          <w:top w:w="55" w:type="dxa"/>
          <w:left w:w="90" w:type="dxa"/>
          <w:bottom w:w="55" w:type="dxa"/>
          <w:right w:w="90" w:type="dxa"/>
        </w:tblCellMar>
      </w:tblPr>
      <w:tblGrid>
        <w:gridCol w:w="3300"/>
        <w:gridCol w:w="2200"/>
        <w:gridCol w:w="2200"/>
        <w:gridCol w:w="2206"/>
      </w:tblGrid>
      <w:tr>
        <w:trPr>
          <w:cantSplit/>
          <w:tblHeader/>
        </w:trPr>
        <w:tc>
          <w:tcPr>
            <w:tcW w:w="3300" w:type="dxa"/>
            <w:shd w:val="clear" w:color="auto" w:fill="E3DFD6"/>
          </w:tcPr>
          <w:p>
            <w:pPr>
              <w:spacing w:after="0"/>
            </w:pPr>
            <w:r>
              <w:rPr>
                <w:rFonts w:ascii="Calibri" w:hAnsi="Calibri"/>
                <w:b/>
                <w:sz w:val="19"/>
              </w:rPr>
              <w:t xml:space="preserve">₹ per vehicle per year</w:t>
            </w:r>
          </w:p>
        </w:tc>
        <w:tc>
          <w:tcPr>
            <w:tcW w:w="2200" w:type="dxa"/>
            <w:shd w:val="clear" w:color="auto" w:fill="E3DFD6"/>
          </w:tcPr>
          <w:p>
            <w:pPr>
              <w:spacing w:after="0"/>
            </w:pPr>
            <w:r>
              <w:rPr>
                <w:rFonts w:ascii="Calibri" w:hAnsi="Calibri"/>
                <w:b/>
                <w:sz w:val="19"/>
              </w:rPr>
              <w:t xml:space="preserve">Conservative</w:t>
            </w:r>
          </w:p>
        </w:tc>
        <w:tc>
          <w:tcPr>
            <w:tcW w:w="2200" w:type="dxa"/>
            <w:shd w:val="clear" w:color="auto" w:fill="E3DFD6"/>
          </w:tcPr>
          <w:p>
            <w:pPr>
              <w:spacing w:after="0"/>
            </w:pPr>
            <w:r>
              <w:rPr>
                <w:rFonts w:ascii="Calibri" w:hAnsi="Calibri"/>
                <w:b/>
                <w:sz w:val="19"/>
              </w:rPr>
              <w:t xml:space="preserve">Base</w:t>
            </w:r>
          </w:p>
        </w:tc>
        <w:tc>
          <w:tcPr>
            <w:tcW w:w="2206" w:type="dxa"/>
            <w:shd w:val="clear" w:color="auto" w:fill="E3DFD6"/>
          </w:tcPr>
          <w:p>
            <w:pPr>
              <w:spacing w:after="0"/>
            </w:pPr>
            <w:r>
              <w:rPr>
                <w:rFonts w:ascii="Calibri" w:hAnsi="Calibri"/>
                <w:b/>
                <w:sz w:val="19"/>
              </w:rPr>
              <w:t xml:space="preserve">Optimistic</w:t>
            </w:r>
          </w:p>
        </w:tc>
      </w:tr>
      <w:tr>
        <w:trPr>
          <w:cantSplit/>
        </w:trPr>
        <w:tc>
          <w:tcPr>
            <w:tcW w:w="3300" w:type="dxa"/>
            <w:shd w:val="clear" w:color="auto" w:fill="FFFFFF"/>
          </w:tcPr>
          <w:p>
            <w:pPr>
              <w:spacing w:after="0"/>
            </w:pPr>
            <w:r>
              <w:rPr>
                <w:rFonts w:ascii="Calibri" w:hAnsi="Calibri"/>
                <w:b/>
                <w:sz w:val="19"/>
              </w:rPr>
              <w:t xml:space="preserve">Rent income (₹400 × days)</w:t>
            </w:r>
          </w:p>
        </w:tc>
        <w:tc>
          <w:tcPr>
            <w:tcW w:w="2200" w:type="dxa"/>
            <w:shd w:val="clear" w:color="auto" w:fill="FFFFFF"/>
          </w:tcPr>
          <w:p>
            <w:pPr>
              <w:spacing w:after="0"/>
            </w:pPr>
            <w:r>
              <w:rPr>
                <w:rFonts w:ascii="Calibri" w:hAnsi="Calibri"/>
                <w:sz w:val="19"/>
              </w:rPr>
              <w:t xml:space="preserve">₹112,000</w:t>
            </w:r>
          </w:p>
        </w:tc>
        <w:tc>
          <w:tcPr>
            <w:tcW w:w="2200" w:type="dxa"/>
            <w:shd w:val="clear" w:color="auto" w:fill="E8EEFB"/>
          </w:tcPr>
          <w:p>
            <w:pPr>
              <w:spacing w:after="0"/>
            </w:pPr>
            <w:r>
              <w:rPr>
                <w:rFonts w:ascii="Calibri" w:hAnsi="Calibri"/>
                <w:sz w:val="19"/>
              </w:rPr>
              <w:t xml:space="preserve">₹132,000</w:t>
            </w:r>
          </w:p>
        </w:tc>
        <w:tc>
          <w:tcPr>
            <w:tcW w:w="2206" w:type="dxa"/>
            <w:shd w:val="clear" w:color="auto" w:fill="FFFFFF"/>
          </w:tcPr>
          <w:p>
            <w:pPr>
              <w:spacing w:after="0"/>
            </w:pPr>
            <w:r>
              <w:rPr>
                <w:rFonts w:ascii="Calibri" w:hAnsi="Calibri"/>
                <w:sz w:val="19"/>
              </w:rPr>
              <w:t xml:space="preserve">₹136,000</w:t>
            </w:r>
          </w:p>
        </w:tc>
      </w:tr>
      <w:tr>
        <w:trPr>
          <w:cantSplit/>
        </w:trPr>
        <w:tc>
          <w:tcPr>
            <w:tcW w:w="3300" w:type="dxa"/>
            <w:shd w:val="clear" w:color="auto" w:fill="F7F5F0"/>
          </w:tcPr>
          <w:p>
            <w:pPr>
              <w:spacing w:after="0"/>
            </w:pPr>
            <w:r>
              <w:rPr>
                <w:rFonts w:ascii="Calibri" w:hAnsi="Calibri"/>
                <w:b/>
                <w:sz w:val="19"/>
              </w:rPr>
              <w:t xml:space="preserve">Days rented a year</w:t>
            </w:r>
          </w:p>
        </w:tc>
        <w:tc>
          <w:tcPr>
            <w:tcW w:w="2200" w:type="dxa"/>
            <w:shd w:val="clear" w:color="auto" w:fill="F7F5F0"/>
          </w:tcPr>
          <w:p>
            <w:pPr>
              <w:spacing w:after="0"/>
            </w:pPr>
            <w:r>
              <w:rPr>
                <w:rFonts w:ascii="Calibri" w:hAnsi="Calibri"/>
                <w:sz w:val="19"/>
              </w:rPr>
              <w:t xml:space="preserve">280</w:t>
            </w:r>
          </w:p>
        </w:tc>
        <w:tc>
          <w:tcPr>
            <w:tcW w:w="2200" w:type="dxa"/>
            <w:shd w:val="clear" w:color="auto" w:fill="E8EEFB"/>
          </w:tcPr>
          <w:p>
            <w:pPr>
              <w:spacing w:after="0"/>
            </w:pPr>
            <w:r>
              <w:rPr>
                <w:rFonts w:ascii="Calibri" w:hAnsi="Calibri"/>
                <w:sz w:val="19"/>
              </w:rPr>
              <w:t xml:space="preserve">330</w:t>
            </w:r>
          </w:p>
        </w:tc>
        <w:tc>
          <w:tcPr>
            <w:tcW w:w="2206" w:type="dxa"/>
            <w:shd w:val="clear" w:color="auto" w:fill="F7F5F0"/>
          </w:tcPr>
          <w:p>
            <w:pPr>
              <w:spacing w:after="0"/>
            </w:pPr>
            <w:r>
              <w:rPr>
                <w:rFonts w:ascii="Calibri" w:hAnsi="Calibri"/>
                <w:sz w:val="19"/>
              </w:rPr>
              <w:t xml:space="preserve">340</w:t>
            </w:r>
          </w:p>
        </w:tc>
      </w:tr>
      <w:tr>
        <w:trPr>
          <w:cantSplit/>
        </w:trPr>
        <w:tc>
          <w:tcPr>
            <w:tcW w:w="3300" w:type="dxa"/>
            <w:shd w:val="clear" w:color="auto" w:fill="FFFFFF"/>
          </w:tcPr>
          <w:p>
            <w:pPr>
              <w:spacing w:after="0"/>
            </w:pPr>
            <w:r>
              <w:rPr>
                <w:rFonts w:ascii="Calibri" w:hAnsi="Calibri"/>
                <w:b/>
                <w:sz w:val="19"/>
              </w:rPr>
              <w:t xml:space="preserve">Electricity (kWh × tariff × days)</w:t>
            </w:r>
          </w:p>
        </w:tc>
        <w:tc>
          <w:tcPr>
            <w:tcW w:w="2200" w:type="dxa"/>
            <w:shd w:val="clear" w:color="auto" w:fill="FFFFFF"/>
          </w:tcPr>
          <w:p>
            <w:pPr>
              <w:spacing w:after="0"/>
            </w:pPr>
            <w:r>
              <w:rPr>
                <w:rFonts w:ascii="Calibri" w:hAnsi="Calibri"/>
                <w:sz w:val="19"/>
              </w:rPr>
              <w:t xml:space="preserve">₹22,109  (8.0 kWh × ₹9.87)</w:t>
            </w:r>
          </w:p>
        </w:tc>
        <w:tc>
          <w:tcPr>
            <w:tcW w:w="2200" w:type="dxa"/>
            <w:shd w:val="clear" w:color="auto" w:fill="E8EEFB"/>
          </w:tcPr>
          <w:p>
            <w:pPr>
              <w:spacing w:after="0"/>
            </w:pPr>
            <w:r>
              <w:rPr>
                <w:rFonts w:ascii="Calibri" w:hAnsi="Calibri"/>
                <w:sz w:val="19"/>
              </w:rPr>
              <w:t xml:space="preserve">₹13,942  (6.5 × ₹6.50)</w:t>
            </w:r>
          </w:p>
        </w:tc>
        <w:tc>
          <w:tcPr>
            <w:tcW w:w="2206" w:type="dxa"/>
            <w:shd w:val="clear" w:color="auto" w:fill="FFFFFF"/>
          </w:tcPr>
          <w:p>
            <w:pPr>
              <w:spacing w:after="0"/>
            </w:pPr>
            <w:r>
              <w:rPr>
                <w:rFonts w:ascii="Calibri" w:hAnsi="Calibri"/>
                <w:sz w:val="19"/>
              </w:rPr>
              <w:t xml:space="preserve">₹11,220  (5.5 × ₹6.00)</w:t>
            </w:r>
          </w:p>
        </w:tc>
      </w:tr>
      <w:tr>
        <w:trPr>
          <w:cantSplit/>
        </w:trPr>
        <w:tc>
          <w:tcPr>
            <w:tcW w:w="3300" w:type="dxa"/>
            <w:shd w:val="clear" w:color="auto" w:fill="F7F5F0"/>
          </w:tcPr>
          <w:p>
            <w:pPr>
              <w:spacing w:after="0"/>
            </w:pPr>
            <w:r>
              <w:rPr>
                <w:rFonts w:ascii="Calibri" w:hAnsi="Calibri"/>
                <w:b/>
                <w:sz w:val="19"/>
              </w:rPr>
              <w:t xml:space="preserve">Battery replacement</w:t>
            </w:r>
          </w:p>
        </w:tc>
        <w:tc>
          <w:tcPr>
            <w:tcW w:w="2200" w:type="dxa"/>
            <w:shd w:val="clear" w:color="auto" w:fill="F7F5F0"/>
          </w:tcPr>
          <w:p>
            <w:pPr>
              <w:spacing w:after="0"/>
            </w:pPr>
            <w:r>
              <w:rPr>
                <w:rFonts w:ascii="Calibri" w:hAnsi="Calibri"/>
                <w:sz w:val="19"/>
              </w:rPr>
              <w:t xml:space="preserve">₹32,000</w:t>
            </w:r>
          </w:p>
        </w:tc>
        <w:tc>
          <w:tcPr>
            <w:tcW w:w="2200" w:type="dxa"/>
            <w:shd w:val="clear" w:color="auto" w:fill="E8EEFB"/>
          </w:tcPr>
          <w:p>
            <w:pPr>
              <w:spacing w:after="0"/>
            </w:pPr>
            <w:r>
              <w:rPr>
                <w:rFonts w:ascii="Calibri" w:hAnsi="Calibri"/>
                <w:sz w:val="19"/>
              </w:rPr>
              <w:t xml:space="preserve">₹24,000</w:t>
            </w:r>
          </w:p>
        </w:tc>
        <w:tc>
          <w:tcPr>
            <w:tcW w:w="2206" w:type="dxa"/>
            <w:shd w:val="clear" w:color="auto" w:fill="F7F5F0"/>
          </w:tcPr>
          <w:p>
            <w:pPr>
              <w:spacing w:after="0"/>
            </w:pPr>
            <w:r>
              <w:rPr>
                <w:rFonts w:ascii="Calibri" w:hAnsi="Calibri"/>
                <w:sz w:val="19"/>
              </w:rPr>
              <w:t xml:space="preserve">₹18,000</w:t>
            </w:r>
          </w:p>
        </w:tc>
      </w:tr>
      <w:tr>
        <w:trPr>
          <w:cantSplit/>
        </w:trPr>
        <w:tc>
          <w:tcPr>
            <w:tcW w:w="3300" w:type="dxa"/>
            <w:shd w:val="clear" w:color="auto" w:fill="FFFFFF"/>
          </w:tcPr>
          <w:p>
            <w:pPr>
              <w:spacing w:after="0"/>
            </w:pPr>
            <w:r>
              <w:rPr>
                <w:rFonts w:ascii="Calibri" w:hAnsi="Calibri"/>
                <w:b/>
                <w:sz w:val="19"/>
              </w:rPr>
              <w:t xml:space="preserve">Maintenance and repairs</w:t>
            </w:r>
          </w:p>
        </w:tc>
        <w:tc>
          <w:tcPr>
            <w:tcW w:w="2200" w:type="dxa"/>
            <w:shd w:val="clear" w:color="auto" w:fill="FFFFFF"/>
          </w:tcPr>
          <w:p>
            <w:pPr>
              <w:spacing w:after="0"/>
            </w:pPr>
            <w:r>
              <w:rPr>
                <w:rFonts w:ascii="Calibri" w:hAnsi="Calibri"/>
                <w:sz w:val="19"/>
              </w:rPr>
              <w:t xml:space="preserve">₹15,000</w:t>
            </w:r>
          </w:p>
        </w:tc>
        <w:tc>
          <w:tcPr>
            <w:tcW w:w="2200" w:type="dxa"/>
            <w:shd w:val="clear" w:color="auto" w:fill="E8EEFB"/>
          </w:tcPr>
          <w:p>
            <w:pPr>
              <w:spacing w:after="0"/>
            </w:pPr>
            <w:r>
              <w:rPr>
                <w:rFonts w:ascii="Calibri" w:hAnsi="Calibri"/>
                <w:sz w:val="19"/>
              </w:rPr>
              <w:t xml:space="preserve">₹12,000</w:t>
            </w:r>
          </w:p>
        </w:tc>
        <w:tc>
          <w:tcPr>
            <w:tcW w:w="2206" w:type="dxa"/>
            <w:shd w:val="clear" w:color="auto" w:fill="FFFFFF"/>
          </w:tcPr>
          <w:p>
            <w:pPr>
              <w:spacing w:after="0"/>
            </w:pPr>
            <w:r>
              <w:rPr>
                <w:rFonts w:ascii="Calibri" w:hAnsi="Calibri"/>
                <w:sz w:val="19"/>
              </w:rPr>
              <w:t xml:space="preserve">₹10,000</w:t>
            </w:r>
          </w:p>
        </w:tc>
      </w:tr>
      <w:tr>
        <w:trPr>
          <w:cantSplit/>
        </w:trPr>
        <w:tc>
          <w:tcPr>
            <w:tcW w:w="3300" w:type="dxa"/>
            <w:shd w:val="clear" w:color="auto" w:fill="F7F5F0"/>
          </w:tcPr>
          <w:p>
            <w:pPr>
              <w:spacing w:after="0"/>
            </w:pPr>
            <w:r>
              <w:rPr>
                <w:rFonts w:ascii="Calibri" w:hAnsi="Calibri"/>
                <w:b/>
                <w:sz w:val="19"/>
              </w:rPr>
              <w:t xml:space="preserve">Insurance, permits, other</w:t>
            </w:r>
          </w:p>
        </w:tc>
        <w:tc>
          <w:tcPr>
            <w:tcW w:w="2200" w:type="dxa"/>
            <w:shd w:val="clear" w:color="auto" w:fill="F7F5F0"/>
          </w:tcPr>
          <w:p>
            <w:pPr>
              <w:spacing w:after="0"/>
            </w:pPr>
            <w:r>
              <w:rPr>
                <w:rFonts w:ascii="Calibri" w:hAnsi="Calibri"/>
                <w:sz w:val="19"/>
              </w:rPr>
              <w:t xml:space="preserve">₹8,000</w:t>
            </w:r>
          </w:p>
        </w:tc>
        <w:tc>
          <w:tcPr>
            <w:tcW w:w="2200" w:type="dxa"/>
            <w:shd w:val="clear" w:color="auto" w:fill="E8EEFB"/>
          </w:tcPr>
          <w:p>
            <w:pPr>
              <w:spacing w:after="0"/>
            </w:pPr>
            <w:r>
              <w:rPr>
                <w:rFonts w:ascii="Calibri" w:hAnsi="Calibri"/>
                <w:sz w:val="19"/>
              </w:rPr>
              <w:t xml:space="preserve">₹6,000</w:t>
            </w:r>
          </w:p>
        </w:tc>
        <w:tc>
          <w:tcPr>
            <w:tcW w:w="2206" w:type="dxa"/>
            <w:shd w:val="clear" w:color="auto" w:fill="F7F5F0"/>
          </w:tcPr>
          <w:p>
            <w:pPr>
              <w:spacing w:after="0"/>
            </w:pPr>
            <w:r>
              <w:rPr>
                <w:rFonts w:ascii="Calibri" w:hAnsi="Calibri"/>
                <w:sz w:val="19"/>
              </w:rPr>
              <w:t xml:space="preserve">₹5,000</w:t>
            </w:r>
          </w:p>
        </w:tc>
      </w:tr>
      <w:tr>
        <w:trPr>
          <w:cantSplit/>
        </w:trPr>
        <w:tc>
          <w:tcPr>
            <w:tcW w:w="3300" w:type="dxa"/>
            <w:shd w:val="clear" w:color="auto" w:fill="FFFFFF"/>
          </w:tcPr>
          <w:p>
            <w:pPr>
              <w:spacing w:after="0"/>
            </w:pPr>
            <w:r>
              <w:rPr>
                <w:rFonts w:ascii="Calibri" w:hAnsi="Calibri"/>
                <w:b/>
                <w:sz w:val="19"/>
              </w:rPr>
              <w:t xml:space="preserve">Margin before vehicle cost</w:t>
            </w:r>
          </w:p>
        </w:tc>
        <w:tc>
          <w:tcPr>
            <w:tcW w:w="2200" w:type="dxa"/>
            <w:shd w:val="clear" w:color="auto" w:fill="FFFFFF"/>
          </w:tcPr>
          <w:p>
            <w:pPr>
              <w:spacing w:after="0"/>
            </w:pPr>
            <w:r>
              <w:rPr>
                <w:rFonts w:ascii="Calibri" w:hAnsi="Calibri"/>
                <w:sz w:val="19"/>
              </w:rPr>
              <w:t xml:space="preserve">₹34,891</w:t>
            </w:r>
          </w:p>
        </w:tc>
        <w:tc>
          <w:tcPr>
            <w:tcW w:w="2200" w:type="dxa"/>
            <w:shd w:val="clear" w:color="auto" w:fill="E8EEFB"/>
          </w:tcPr>
          <w:p>
            <w:pPr>
              <w:spacing w:after="0"/>
            </w:pPr>
            <w:r>
              <w:rPr>
                <w:rFonts w:ascii="Calibri" w:hAnsi="Calibri"/>
                <w:sz w:val="19"/>
              </w:rPr>
              <w:t xml:space="preserve">₹76,058</w:t>
            </w:r>
          </w:p>
        </w:tc>
        <w:tc>
          <w:tcPr>
            <w:tcW w:w="2206" w:type="dxa"/>
            <w:shd w:val="clear" w:color="auto" w:fill="FFFFFF"/>
          </w:tcPr>
          <w:p>
            <w:pPr>
              <w:spacing w:after="0"/>
            </w:pPr>
            <w:r>
              <w:rPr>
                <w:rFonts w:ascii="Calibri" w:hAnsi="Calibri"/>
                <w:sz w:val="19"/>
              </w:rPr>
              <w:t xml:space="preserve">₹91,780</w:t>
            </w:r>
          </w:p>
        </w:tc>
      </w:tr>
      <w:tr>
        <w:trPr>
          <w:cantSplit/>
        </w:trPr>
        <w:tc>
          <w:tcPr>
            <w:tcW w:w="3300" w:type="dxa"/>
            <w:shd w:val="clear" w:color="auto" w:fill="F7F5F0"/>
          </w:tcPr>
          <w:p>
            <w:pPr>
              <w:spacing w:after="0"/>
            </w:pPr>
            <w:r>
              <w:rPr>
                <w:rFonts w:ascii="Calibri" w:hAnsi="Calibri"/>
                <w:b/>
                <w:sz w:val="19"/>
              </w:rPr>
              <w:t xml:space="preserve">Payback on ₹1.6 lakh vehicle</w:t>
            </w:r>
          </w:p>
        </w:tc>
        <w:tc>
          <w:tcPr>
            <w:tcW w:w="2200" w:type="dxa"/>
            <w:shd w:val="clear" w:color="auto" w:fill="F7F5F0"/>
          </w:tcPr>
          <w:p>
            <w:pPr>
              <w:spacing w:after="0"/>
            </w:pPr>
            <w:r>
              <w:rPr>
                <w:rFonts w:ascii="Calibri" w:hAnsi="Calibri"/>
                <w:sz w:val="19"/>
              </w:rPr>
              <w:t xml:space="preserve">4.6 years</w:t>
            </w:r>
          </w:p>
        </w:tc>
        <w:tc>
          <w:tcPr>
            <w:tcW w:w="2200" w:type="dxa"/>
            <w:shd w:val="clear" w:color="auto" w:fill="E8EEFB"/>
          </w:tcPr>
          <w:p>
            <w:pPr>
              <w:spacing w:after="0"/>
            </w:pPr>
            <w:r>
              <w:rPr>
                <w:rFonts w:ascii="Calibri" w:hAnsi="Calibri"/>
                <w:sz w:val="19"/>
              </w:rPr>
              <w:t xml:space="preserve">2.1 years</w:t>
            </w:r>
          </w:p>
        </w:tc>
        <w:tc>
          <w:tcPr>
            <w:tcW w:w="2206" w:type="dxa"/>
            <w:shd w:val="clear" w:color="auto" w:fill="F7F5F0"/>
          </w:tcPr>
          <w:p>
            <w:pPr>
              <w:spacing w:after="0"/>
            </w:pPr>
            <w:r>
              <w:rPr>
                <w:rFonts w:ascii="Calibri" w:hAnsi="Calibri"/>
                <w:sz w:val="19"/>
              </w:rPr>
              <w:t xml:space="preserve">1.7 years</w:t>
            </w:r>
          </w:p>
        </w:tc>
      </w:tr>
      <w:tr>
        <w:trPr>
          <w:cantSplit/>
        </w:trPr>
        <w:tc>
          <w:tcPr>
            <w:tcW w:w="3300" w:type="dxa"/>
            <w:shd w:val="clear" w:color="auto" w:fill="FFFFFF"/>
          </w:tcPr>
          <w:p>
            <w:pPr>
              <w:spacing w:after="0"/>
            </w:pPr>
            <w:r>
              <w:rPr>
                <w:rFonts w:ascii="Calibri" w:hAnsi="Calibri"/>
                <w:b/>
                <w:sz w:val="19"/>
              </w:rPr>
              <w:t xml:space="preserve">Electricity + battery share of rent</w:t>
            </w:r>
          </w:p>
        </w:tc>
        <w:tc>
          <w:tcPr>
            <w:tcW w:w="2200" w:type="dxa"/>
            <w:shd w:val="clear" w:color="auto" w:fill="FFFFFF"/>
          </w:tcPr>
          <w:p>
            <w:pPr>
              <w:spacing w:after="0"/>
            </w:pPr>
            <w:r>
              <w:rPr>
                <w:rFonts w:ascii="Calibri" w:hAnsi="Calibri"/>
                <w:sz w:val="19"/>
              </w:rPr>
              <w:t xml:space="preserve">48%</w:t>
            </w:r>
          </w:p>
        </w:tc>
        <w:tc>
          <w:tcPr>
            <w:tcW w:w="2200" w:type="dxa"/>
            <w:shd w:val="clear" w:color="auto" w:fill="E8EEFB"/>
          </w:tcPr>
          <w:p>
            <w:pPr>
              <w:spacing w:after="0"/>
            </w:pPr>
            <w:r>
              <w:rPr>
                <w:rFonts w:ascii="Calibri" w:hAnsi="Calibri"/>
                <w:sz w:val="19"/>
              </w:rPr>
              <w:t xml:space="preserve">29%</w:t>
            </w:r>
          </w:p>
        </w:tc>
        <w:tc>
          <w:tcPr>
            <w:tcW w:w="2206" w:type="dxa"/>
            <w:shd w:val="clear" w:color="auto" w:fill="FFFFFF"/>
          </w:tcPr>
          <w:p>
            <w:pPr>
              <w:spacing w:after="0"/>
            </w:pPr>
            <w:r>
              <w:rPr>
                <w:rFonts w:ascii="Calibri" w:hAnsi="Calibri"/>
                <w:sz w:val="19"/>
              </w:rPr>
              <w:t xml:space="preserve">21%</w:t>
            </w:r>
          </w:p>
        </w:tc>
      </w:tr>
    </w:tbl>
    <w:p>
      <w:pPr>
        <w:spacing w:after="140"/>
      </w:pPr>
      <w:r>
        <w:rPr>
          <w:rFonts w:ascii="Calibri" w:hAnsi="Calibri"/>
          <w:sz w:val="22"/>
        </w:rPr>
        <w:t xml:space="preserve"/>
      </w:r>
    </w:p>
    <w:p>
      <w:pPr>
        <w:spacing w:after="180"/>
      </w:pPr>
      <w:r>
        <w:rPr>
          <w:rFonts w:ascii="Calibri" w:hAnsi="Calibri"/>
          <w:i/>
          <w:color w:val="6B7078"/>
          <w:sz w:val="18"/>
        </w:rPr>
        <w:t xml:space="preserve">Maintenance and 'other' are assumptions, kept modest because we have no field data. A garage of 10 vehicles earns about ten times these figures. Driver take-home (₹400–700 after rent) is unaffected.</w:t>
      </w:r>
    </w:p>
    <w:p>
      <w:pPr>
        <w:keepNext/>
        <w:spacing w:after="40"/>
      </w:pPr>
      <w:r>
        <w:drawing>
          <wp:inline distT="0" distB="0" distL="0" distR="0">
            <wp:extent cx="6126480" cy="2613964"/>
            <wp:docPr id="1" name="a" descr="Chart 1. The owner keeps about 31% of the rent as margin even in the conservative case. Electricity plus batteries take 29% in the base case and 48% in the conservative case (higher tariff, yearly lead-acid swaps)."/>
            <a:graphic xmlns:a="http://schemas.openxmlformats.org/drawingml/2006/main">
              <a:graphicData uri="http://schemas.openxmlformats.org/drawingml/2006/picture">
                <pic:pic xmlns:pic="http://schemas.openxmlformats.org/drawingml/2006/picture">
                  <pic:nvPicPr>
                    <pic:cNvPr id="1" name="a.png"/>
                    <pic:cNvPicPr/>
                  </pic:nvPicPr>
                  <pic:blipFill>
                    <a:blip r:embed="rIdImg1"/>
                    <a:stretch>
                      <a:fillRect/>
                    </a:stretch>
                  </pic:blipFill>
                  <pic:spPr>
                    <a:xfrm>
                      <a:off x="0" y="0"/>
                      <a:ext cx="6126480" cy="2613964"/>
                    </a:xfrm>
                    <a:prstGeom prst="rect">
                      <a:avLst/>
                    </a:prstGeom>
                  </pic:spPr>
                </pic:pic>
              </a:graphicData>
            </a:graphic>
          </wp:inline>
        </w:drawing>
      </w:r>
    </w:p>
    <w:p>
      <w:pPr>
        <w:spacing w:after="180"/>
      </w:pPr>
      <w:r>
        <w:rPr>
          <w:rFonts w:ascii="Calibri" w:hAnsi="Calibri"/>
          <w:i/>
          <w:color w:val="6B7078"/>
          <w:sz w:val="18"/>
        </w:rPr>
        <w:t xml:space="preserve">Chart 1. The owner keeps about 31% of the rent as margin even in the conservative case. Electricity plus batteries take 29% in the base case and 48% in the conservative case (higher tariff, yearly lead-acid swaps).</w:t>
      </w:r>
    </w:p>
    <w:p>
      <w:pPr>
        <w:pStyle w:val="Heading1"/>
        <w:keepNext/>
        <w:spacing w:after="100"/>
      </w:pPr>
      <w:r>
        <w:rPr>
          <w:rFonts w:ascii="Calibri" w:hAnsi="Calibri"/>
          <w:b/>
          <w:color w:val="171A20"/>
          <w:sz w:val="30"/>
        </w:rPr>
        <w:t xml:space="preserve">4. Garage owner: the solar investment (3 kW)</w:t>
      </w:r>
    </w:p>
    <w:tbl>
      <w:tblPr>
        <w:tblW w:w="9906" w:type="dxa"/>
        <w:tblBorders>
          <w:top w:val="single" w:sz="4" w:color="D6D2C7"/>
          <w:left w:val="single" w:sz="4" w:color="D6D2C7"/>
          <w:bottom w:val="single" w:sz="4" w:color="D6D2C7"/>
          <w:right w:val="single" w:sz="4" w:color="D6D2C7"/>
          <w:insideH w:val="single" w:sz="4" w:color="D6D2C7"/>
          <w:insideV w:val="single" w:sz="4" w:color="D6D2C7"/>
        </w:tblBorders>
        <w:tblLayout w:type="fixed"/>
        <w:tblCellMar>
          <w:top w:w="55" w:type="dxa"/>
          <w:left w:w="90" w:type="dxa"/>
          <w:bottom w:w="55" w:type="dxa"/>
          <w:right w:w="90" w:type="dxa"/>
        </w:tblCellMar>
      </w:tblPr>
      <w:tblGrid>
        <w:gridCol w:w="3600"/>
        <w:gridCol w:w="1500"/>
        <w:gridCol w:w="1800"/>
        <w:gridCol w:w="1300"/>
        <w:gridCol w:w="1706"/>
      </w:tblGrid>
      <w:tr>
        <w:trPr>
          <w:cantSplit/>
          <w:tblHeader/>
        </w:trPr>
        <w:tc>
          <w:tcPr>
            <w:tcW w:w="3600" w:type="dxa"/>
            <w:shd w:val="clear" w:color="auto" w:fill="E3DFD6"/>
          </w:tcPr>
          <w:p>
            <w:pPr>
              <w:spacing w:after="0"/>
            </w:pPr>
            <w:r>
              <w:rPr>
                <w:rFonts w:ascii="Calibri" w:hAnsi="Calibri"/>
                <w:b/>
                <w:sz w:val="18"/>
              </w:rPr>
              <w:t xml:space="preserve">Case</w:t>
            </w:r>
          </w:p>
        </w:tc>
        <w:tc>
          <w:tcPr>
            <w:tcW w:w="1500" w:type="dxa"/>
            <w:shd w:val="clear" w:color="auto" w:fill="E3DFD6"/>
          </w:tcPr>
          <w:p>
            <w:pPr>
              <w:spacing w:after="0"/>
            </w:pPr>
            <w:r>
              <w:rPr>
                <w:rFonts w:ascii="Calibri" w:hAnsi="Calibri"/>
                <w:b/>
                <w:sz w:val="18"/>
              </w:rPr>
              <w:t xml:space="preserve">Net cost</w:t>
            </w:r>
          </w:p>
        </w:tc>
        <w:tc>
          <w:tcPr>
            <w:tcW w:w="1800" w:type="dxa"/>
            <w:shd w:val="clear" w:color="auto" w:fill="E3DFD6"/>
          </w:tcPr>
          <w:p>
            <w:pPr>
              <w:spacing w:after="0"/>
            </w:pPr>
            <w:r>
              <w:rPr>
                <w:rFonts w:ascii="Calibri" w:hAnsi="Calibri"/>
                <w:b/>
                <w:sz w:val="18"/>
              </w:rPr>
              <w:t xml:space="preserve">Yearly saving, year 1</w:t>
            </w:r>
          </w:p>
        </w:tc>
        <w:tc>
          <w:tcPr>
            <w:tcW w:w="1300" w:type="dxa"/>
            <w:shd w:val="clear" w:color="auto" w:fill="E3DFD6"/>
          </w:tcPr>
          <w:p>
            <w:pPr>
              <w:spacing w:after="0"/>
            </w:pPr>
            <w:r>
              <w:rPr>
                <w:rFonts w:ascii="Calibri" w:hAnsi="Calibri"/>
                <w:b/>
                <w:sz w:val="18"/>
              </w:rPr>
              <w:t xml:space="preserve">Payback</w:t>
            </w:r>
          </w:p>
        </w:tc>
        <w:tc>
          <w:tcPr>
            <w:tcW w:w="1706" w:type="dxa"/>
            <w:shd w:val="clear" w:color="auto" w:fill="E3DFD6"/>
          </w:tcPr>
          <w:p>
            <w:pPr>
              <w:spacing w:after="0"/>
            </w:pPr>
            <w:r>
              <w:rPr>
                <w:rFonts w:ascii="Calibri" w:hAnsi="Calibri"/>
                <w:b/>
                <w:sz w:val="18"/>
              </w:rPr>
              <w:t xml:space="preserve">25-year net cash</w:t>
            </w:r>
          </w:p>
        </w:tc>
      </w:tr>
      <w:tr>
        <w:trPr>
          <w:cantSplit/>
        </w:trPr>
        <w:tc>
          <w:tcPr>
            <w:tcW w:w="3600" w:type="dxa"/>
            <w:shd w:val="clear" w:color="auto" w:fill="FFFFFF"/>
          </w:tcPr>
          <w:p>
            <w:pPr>
              <w:spacing w:after="0"/>
            </w:pPr>
            <w:r>
              <w:rPr>
                <w:rFonts w:ascii="Calibri" w:hAnsi="Calibri"/>
                <w:b/>
                <w:sz w:val="18"/>
              </w:rPr>
              <w:t xml:space="preserve">Optimistic (central + UP top-up, high yield)</w:t>
            </w:r>
          </w:p>
        </w:tc>
        <w:tc>
          <w:tcPr>
            <w:tcW w:w="1500" w:type="dxa"/>
            <w:shd w:val="clear" w:color="auto" w:fill="FFFFFF"/>
          </w:tcPr>
          <w:p>
            <w:pPr>
              <w:spacing w:after="0"/>
            </w:pPr>
            <w:r>
              <w:rPr>
                <w:rFonts w:ascii="Calibri" w:hAnsi="Calibri"/>
                <w:sz w:val="18"/>
              </w:rPr>
              <w:t xml:space="preserve">₹108,000</w:t>
            </w:r>
          </w:p>
        </w:tc>
        <w:tc>
          <w:tcPr>
            <w:tcW w:w="1800" w:type="dxa"/>
            <w:shd w:val="clear" w:color="auto" w:fill="FFFFFF"/>
          </w:tcPr>
          <w:p>
            <w:pPr>
              <w:spacing w:after="0"/>
            </w:pPr>
            <w:r>
              <w:rPr>
                <w:rFonts w:ascii="Calibri" w:hAnsi="Calibri"/>
                <w:sz w:val="18"/>
              </w:rPr>
              <w:t xml:space="preserve">₹41,580</w:t>
            </w:r>
          </w:p>
        </w:tc>
        <w:tc>
          <w:tcPr>
            <w:tcW w:w="1300" w:type="dxa"/>
            <w:shd w:val="clear" w:color="auto" w:fill="FFFFFF"/>
          </w:tcPr>
          <w:p>
            <w:pPr>
              <w:spacing w:after="0"/>
            </w:pPr>
            <w:r>
              <w:rPr>
                <w:rFonts w:ascii="Calibri" w:hAnsi="Calibri"/>
                <w:sz w:val="18"/>
              </w:rPr>
              <w:t xml:space="preserve">2.7 years</w:t>
            </w:r>
          </w:p>
        </w:tc>
        <w:tc>
          <w:tcPr>
            <w:tcW w:w="1706" w:type="dxa"/>
            <w:shd w:val="clear" w:color="auto" w:fill="FFFFFF"/>
          </w:tcPr>
          <w:p>
            <w:pPr>
              <w:spacing w:after="0"/>
            </w:pPr>
            <w:r>
              <w:rPr>
                <w:rFonts w:ascii="Calibri" w:hAnsi="Calibri"/>
                <w:sz w:val="18"/>
              </w:rPr>
              <w:t xml:space="preserve">₹7.66 lakh</w:t>
            </w:r>
          </w:p>
        </w:tc>
      </w:tr>
      <w:tr>
        <w:trPr>
          <w:cantSplit/>
        </w:trPr>
        <w:tc>
          <w:tcPr>
            <w:tcW w:w="3600" w:type="dxa"/>
            <w:shd w:val="clear" w:color="auto" w:fill="F7F5F0"/>
          </w:tcPr>
          <w:p>
            <w:pPr>
              <w:spacing w:after="0"/>
            </w:pPr>
            <w:r>
              <w:rPr>
                <w:rFonts w:ascii="Calibri" w:hAnsi="Calibri"/>
                <w:b/>
                <w:sz w:val="18"/>
              </w:rPr>
              <w:t xml:space="preserve">Base (central + UP top-up)</w:t>
            </w:r>
          </w:p>
        </w:tc>
        <w:tc>
          <w:tcPr>
            <w:tcW w:w="1500" w:type="dxa"/>
            <w:shd w:val="clear" w:color="auto" w:fill="F7F5F0"/>
          </w:tcPr>
          <w:p>
            <w:pPr>
              <w:spacing w:after="0"/>
            </w:pPr>
            <w:r>
              <w:rPr>
                <w:rFonts w:ascii="Calibri" w:hAnsi="Calibri"/>
                <w:sz w:val="18"/>
              </w:rPr>
              <w:t xml:space="preserve">₹120,000</w:t>
            </w:r>
          </w:p>
        </w:tc>
        <w:tc>
          <w:tcPr>
            <w:tcW w:w="1800" w:type="dxa"/>
            <w:shd w:val="clear" w:color="auto" w:fill="F7F5F0"/>
          </w:tcPr>
          <w:p>
            <w:pPr>
              <w:spacing w:after="0"/>
            </w:pPr>
            <w:r>
              <w:rPr>
                <w:rFonts w:ascii="Calibri" w:hAnsi="Calibri"/>
                <w:sz w:val="18"/>
              </w:rPr>
              <w:t xml:space="preserve">₹29,250</w:t>
            </w:r>
          </w:p>
        </w:tc>
        <w:tc>
          <w:tcPr>
            <w:tcW w:w="1300" w:type="dxa"/>
            <w:shd w:val="clear" w:color="auto" w:fill="F7F5F0"/>
          </w:tcPr>
          <w:p>
            <w:pPr>
              <w:spacing w:after="0"/>
            </w:pPr>
            <w:r>
              <w:rPr>
                <w:rFonts w:ascii="Calibri" w:hAnsi="Calibri"/>
                <w:sz w:val="18"/>
              </w:rPr>
              <w:t xml:space="preserve">4.3 years</w:t>
            </w:r>
          </w:p>
        </w:tc>
        <w:tc>
          <w:tcPr>
            <w:tcW w:w="1706" w:type="dxa"/>
            <w:shd w:val="clear" w:color="auto" w:fill="F7F5F0"/>
          </w:tcPr>
          <w:p>
            <w:pPr>
              <w:spacing w:after="0"/>
            </w:pPr>
            <w:r>
              <w:rPr>
                <w:rFonts w:ascii="Calibri" w:hAnsi="Calibri"/>
                <w:sz w:val="18"/>
              </w:rPr>
              <w:t xml:space="preserve">₹4.80 lakh</w:t>
            </w:r>
          </w:p>
        </w:tc>
      </w:tr>
      <w:tr>
        <w:trPr>
          <w:cantSplit/>
        </w:trPr>
        <w:tc>
          <w:tcPr>
            <w:tcW w:w="3600" w:type="dxa"/>
            <w:shd w:val="clear" w:color="auto" w:fill="FFFFFF"/>
          </w:tcPr>
          <w:p>
            <w:pPr>
              <w:spacing w:after="0"/>
            </w:pPr>
            <w:r>
              <w:rPr>
                <w:rFonts w:ascii="Calibri" w:hAnsi="Calibri"/>
                <w:b/>
                <w:sz w:val="18"/>
              </w:rPr>
              <w:t xml:space="preserve">Conservative (central only)</w:t>
            </w:r>
          </w:p>
        </w:tc>
        <w:tc>
          <w:tcPr>
            <w:tcW w:w="1500" w:type="dxa"/>
            <w:shd w:val="clear" w:color="auto" w:fill="FFFFFF"/>
          </w:tcPr>
          <w:p>
            <w:pPr>
              <w:spacing w:after="0"/>
            </w:pPr>
            <w:r>
              <w:rPr>
                <w:rFonts w:ascii="Calibri" w:hAnsi="Calibri"/>
                <w:sz w:val="18"/>
              </w:rPr>
              <w:t xml:space="preserve">₹142,000</w:t>
            </w:r>
          </w:p>
        </w:tc>
        <w:tc>
          <w:tcPr>
            <w:tcW w:w="1800" w:type="dxa"/>
            <w:shd w:val="clear" w:color="auto" w:fill="FFFFFF"/>
          </w:tcPr>
          <w:p>
            <w:pPr>
              <w:spacing w:after="0"/>
            </w:pPr>
            <w:r>
              <w:rPr>
                <w:rFonts w:ascii="Calibri" w:hAnsi="Calibri"/>
                <w:sz w:val="18"/>
              </w:rPr>
              <w:t xml:space="preserve">₹25,200</w:t>
            </w:r>
          </w:p>
        </w:tc>
        <w:tc>
          <w:tcPr>
            <w:tcW w:w="1300" w:type="dxa"/>
            <w:shd w:val="clear" w:color="auto" w:fill="FFFFFF"/>
          </w:tcPr>
          <w:p>
            <w:pPr>
              <w:spacing w:after="0"/>
            </w:pPr>
            <w:r>
              <w:rPr>
                <w:rFonts w:ascii="Calibri" w:hAnsi="Calibri"/>
                <w:sz w:val="18"/>
              </w:rPr>
              <w:t xml:space="preserve">6.0 years</w:t>
            </w:r>
          </w:p>
        </w:tc>
        <w:tc>
          <w:tcPr>
            <w:tcW w:w="1706" w:type="dxa"/>
            <w:shd w:val="clear" w:color="auto" w:fill="FFFFFF"/>
          </w:tcPr>
          <w:p>
            <w:pPr>
              <w:spacing w:after="0"/>
            </w:pPr>
            <w:r>
              <w:rPr>
                <w:rFonts w:ascii="Calibri" w:hAnsi="Calibri"/>
                <w:sz w:val="18"/>
              </w:rPr>
              <w:t xml:space="preserve">₹3.68 lakh</w:t>
            </w:r>
          </w:p>
        </w:tc>
      </w:tr>
      <w:tr>
        <w:trPr>
          <w:cantSplit/>
        </w:trPr>
        <w:tc>
          <w:tcPr>
            <w:tcW w:w="3600" w:type="dxa"/>
            <w:shd w:val="clear" w:color="auto" w:fill="F7F5F0"/>
          </w:tcPr>
          <w:p>
            <w:pPr>
              <w:spacing w:after="0"/>
            </w:pPr>
            <w:r>
              <w:rPr>
                <w:rFonts w:ascii="Calibri" w:hAnsi="Calibri"/>
                <w:b/>
                <w:sz w:val="18"/>
              </w:rPr>
              <w:t xml:space="preserve">No subsidy (commercial connection)</w:t>
            </w:r>
          </w:p>
        </w:tc>
        <w:tc>
          <w:tcPr>
            <w:tcW w:w="1500" w:type="dxa"/>
            <w:shd w:val="clear" w:color="auto" w:fill="F7F5F0"/>
          </w:tcPr>
          <w:p>
            <w:pPr>
              <w:spacing w:after="0"/>
            </w:pPr>
            <w:r>
              <w:rPr>
                <w:rFonts w:ascii="Calibri" w:hAnsi="Calibri"/>
                <w:sz w:val="18"/>
              </w:rPr>
              <w:t xml:space="preserve">₹220,000</w:t>
            </w:r>
          </w:p>
        </w:tc>
        <w:tc>
          <w:tcPr>
            <w:tcW w:w="1800" w:type="dxa"/>
            <w:shd w:val="clear" w:color="auto" w:fill="F7F5F0"/>
          </w:tcPr>
          <w:p>
            <w:pPr>
              <w:spacing w:after="0"/>
            </w:pPr>
            <w:r>
              <w:rPr>
                <w:rFonts w:ascii="Calibri" w:hAnsi="Calibri"/>
                <w:sz w:val="18"/>
              </w:rPr>
              <w:t xml:space="preserve">₹44,415</w:t>
            </w:r>
          </w:p>
        </w:tc>
        <w:tc>
          <w:tcPr>
            <w:tcW w:w="1300" w:type="dxa"/>
            <w:shd w:val="clear" w:color="auto" w:fill="F7F5F0"/>
          </w:tcPr>
          <w:p>
            <w:pPr>
              <w:spacing w:after="0"/>
            </w:pPr>
            <w:r>
              <w:rPr>
                <w:rFonts w:ascii="Calibri" w:hAnsi="Calibri"/>
                <w:sz w:val="18"/>
              </w:rPr>
              <w:t xml:space="preserve">5.2 years</w:t>
            </w:r>
          </w:p>
        </w:tc>
        <w:tc>
          <w:tcPr>
            <w:tcW w:w="1706" w:type="dxa"/>
            <w:shd w:val="clear" w:color="auto" w:fill="F7F5F0"/>
          </w:tcPr>
          <w:p>
            <w:pPr>
              <w:spacing w:after="0"/>
            </w:pPr>
            <w:r>
              <w:rPr>
                <w:rFonts w:ascii="Calibri" w:hAnsi="Calibri"/>
                <w:sz w:val="18"/>
              </w:rPr>
              <w:t xml:space="preserve">₹7.17 lakh</w:t>
            </w:r>
          </w:p>
        </w:tc>
      </w:tr>
    </w:tbl>
    <w:p>
      <w:pPr>
        <w:spacing w:after="140"/>
      </w:pPr>
      <w:r>
        <w:rPr>
          <w:rFonts w:ascii="Calibri" w:hAnsi="Calibri"/>
          <w:sz w:val="22"/>
        </w:rPr>
        <w:t xml:space="preserve"/>
      </w:r>
    </w:p>
    <w:p>
      <w:pPr>
        <w:spacing w:after="180"/>
      </w:pPr>
      <w:r>
        <w:rPr>
          <w:rFonts w:ascii="Calibri" w:hAnsi="Calibri"/>
          <w:i/>
          <w:color w:val="6B7078"/>
          <w:sz w:val="18"/>
        </w:rPr>
        <w:t xml:space="preserve">Saving = kWh a year × tariff offset through net metering. Yield falls 1% a year, O&amp;M ₹1,000 a year, inverter replaced at ₹25,000 in year 12, no future tariff rise (installers assume 3%, so this is conservative).</w:t>
      </w:r>
    </w:p>
    <w:p>
      <w:pPr>
        <w:keepNext/>
        <w:spacing w:after="40"/>
      </w:pPr>
      <w:r>
        <w:drawing>
          <wp:inline distT="0" distB="0" distL="0" distR="0">
            <wp:extent cx="6126480" cy="3104083"/>
            <wp:docPr id="2" name="b" descr="Chart 2. Subsidised solar pays back in 3 to 6 years and earns for 25. Without subsidy it still pays back in about 5 years, but only if the higher commercial tariff applies and net metering works."/>
            <a:graphic xmlns:a="http://schemas.openxmlformats.org/drawingml/2006/main">
              <a:graphicData uri="http://schemas.openxmlformats.org/drawingml/2006/picture">
                <pic:pic xmlns:pic="http://schemas.openxmlformats.org/drawingml/2006/picture">
                  <pic:nvPicPr>
                    <pic:cNvPr id="2" name="b.png"/>
                    <pic:cNvPicPr/>
                  </pic:nvPicPr>
                  <pic:blipFill>
                    <a:blip r:embed="rIdImg2"/>
                    <a:stretch>
                      <a:fillRect/>
                    </a:stretch>
                  </pic:blipFill>
                  <pic:spPr>
                    <a:xfrm>
                      <a:off x="0" y="0"/>
                      <a:ext cx="6126480" cy="3104083"/>
                    </a:xfrm>
                    <a:prstGeom prst="rect">
                      <a:avLst/>
                    </a:prstGeom>
                  </pic:spPr>
                </pic:pic>
              </a:graphicData>
            </a:graphic>
          </wp:inline>
        </w:drawing>
      </w:r>
    </w:p>
    <w:p>
      <w:pPr>
        <w:spacing w:after="180"/>
      </w:pPr>
      <w:r>
        <w:rPr>
          <w:rFonts w:ascii="Calibri" w:hAnsi="Calibri"/>
          <w:i/>
          <w:color w:val="6B7078"/>
          <w:sz w:val="18"/>
        </w:rPr>
        <w:t xml:space="preserve">Chart 2. Subsidised solar pays back in 3 to 6 years and earns for 25. Without subsidy it still pays back in about 5 years, but only if the higher commercial tariff applies and net metering works.</w:t>
      </w:r>
    </w:p>
    <w:p>
      <w:pPr>
        <w:keepNext/>
        <w:spacing w:after="40"/>
      </w:pPr>
      <w:r>
        <w:drawing>
          <wp:inline distT="0" distB="0" distL="0" distR="0">
            <wp:extent cx="6126480" cy="2532278"/>
            <wp:docPr id="3" name="c" descr="Chart 3. A 3 kW roof covers 17 to 29% of a garage's charging energy depending on season. Solar is a supplement, which is why the pitch should not oversell it."/>
            <a:graphic xmlns:a="http://schemas.openxmlformats.org/drawingml/2006/main">
              <a:graphicData uri="http://schemas.openxmlformats.org/drawingml/2006/picture">
                <pic:pic xmlns:pic="http://schemas.openxmlformats.org/drawingml/2006/picture">
                  <pic:nvPicPr>
                    <pic:cNvPr id="3" name="c.png"/>
                    <pic:cNvPicPr/>
                  </pic:nvPicPr>
                  <pic:blipFill>
                    <a:blip r:embed="rIdImg3"/>
                    <a:stretch>
                      <a:fillRect/>
                    </a:stretch>
                  </pic:blipFill>
                  <pic:spPr>
                    <a:xfrm>
                      <a:off x="0" y="0"/>
                      <a:ext cx="6126480" cy="2532278"/>
                    </a:xfrm>
                    <a:prstGeom prst="rect">
                      <a:avLst/>
                    </a:prstGeom>
                  </pic:spPr>
                </pic:pic>
              </a:graphicData>
            </a:graphic>
          </wp:inline>
        </w:drawing>
      </w:r>
    </w:p>
    <w:p>
      <w:pPr>
        <w:spacing w:after="180"/>
      </w:pPr>
      <w:r>
        <w:rPr>
          <w:rFonts w:ascii="Calibri" w:hAnsi="Calibri"/>
          <w:i/>
          <w:color w:val="6B7078"/>
          <w:sz w:val="18"/>
        </w:rPr>
        <w:t xml:space="preserve">Chart 3. A 3 kW roof covers 17 to 29% of a garage's charging energy depending on season. Solar is a supplement, which is why the pitch should not oversell it.</w:t>
      </w:r>
    </w:p>
    <w:tbl>
      <w:tblPr>
        <w:tblW w:w="9906" w:type="dxa"/>
        <w:tblLayout w:type="fixed"/>
        <w:tblCellMar>
          <w:top w:w="120" w:type="dxa"/>
          <w:left w:w="180" w:type="dxa"/>
          <w:bottom w:w="100" w:type="dxa"/>
          <w:right w:w="180" w:type="dxa"/>
        </w:tblCellMar>
      </w:tblPr>
      <w:tblGrid>
        <w:gridCol w:w="9906"/>
      </w:tblGrid>
      <w:tr>
        <w:tc>
          <w:tcPr>
            <w:tcW w:w="9906" w:type="dxa"/>
            <w:shd w:val="clear" w:color="auto" w:fill="F1F3F4"/>
          </w:tcPr>
          <w:p>
            <w:pPr>
              <w:spacing w:after="60"/>
            </w:pPr>
            <w:r>
              <w:rPr>
                <w:rFonts w:ascii="Calibri" w:hAnsi="Calibri"/>
                <w:b/>
                <w:color w:val="2457D6"/>
                <w:sz w:val="24"/>
              </w:rPr>
              <w:t xml:space="preserve">Why net metering matters more than storage</w:t>
            </w:r>
          </w:p>
          <w:p>
            <w:pPr>
              <w:spacing w:after="50"/>
            </w:pPr>
            <w:r>
              <w:rPr>
                <w:rFonts w:ascii="Calibri" w:hAnsi="Calibri"/>
                <w:sz w:val="21"/>
              </w:rPr>
              <w:t xml:space="preserve">•  The vehicles are out by day and charge at night. With net metering, daytime solar is banked with the DISCOM and offsets the night load, so no battery is needed.</w:t>
            </w:r>
          </w:p>
          <w:p>
            <w:pPr>
              <w:spacing w:after="50"/>
            </w:pPr>
            <w:r>
              <w:rPr>
                <w:rFonts w:ascii="Calibri" w:hAnsi="Calibri"/>
                <w:sz w:val="21"/>
              </w:rPr>
              <w:t xml:space="preserve">•  A second-life storage unit (15 kWh, assumed about ₹10,000 per kWh plus a ₹50,000 hybrid inverter, about ₹2 lakh) would roughly triple the solar investment for energy the grid already banks for free: payback beyond 10 years. We have no India price for second-life packs, so this is our assumption.</w:t>
            </w:r>
          </w:p>
          <w:p>
            <w:pPr>
              <w:spacing w:after="50"/>
            </w:pPr>
            <w:r>
              <w:rPr>
                <w:rFonts w:ascii="Calibri" w:hAnsi="Calibri"/>
                <w:sz w:val="21"/>
              </w:rPr>
              <w:t xml:space="preserve">•  Storage makes sense only where net metering is unavailable or the connection limit is binding, for example the 6 kW garage in our simulation (5 of 10 ready on grid only, 10 of 10 with storage).</w:t>
            </w:r>
          </w:p>
        </w:tc>
      </w:tr>
    </w:tbl>
    <w:p>
      <w:pPr>
        <w:spacing w:after="140"/>
      </w:pPr>
      <w:r>
        <w:rPr>
          <w:rFonts w:ascii="Calibri" w:hAnsi="Calibri"/>
          <w:sz w:val="22"/>
        </w:rPr>
        <w:t xml:space="preserve"/>
      </w:r>
    </w:p>
    <w:p>
      <w:pPr>
        <w:pStyle w:val="Heading1"/>
        <w:keepNext/>
        <w:spacing w:after="100"/>
      </w:pPr>
      <w:r>
        <w:rPr>
          <w:rFonts w:ascii="Calibri" w:hAnsi="Calibri"/>
          <w:b/>
          <w:color w:val="171A20"/>
          <w:sz w:val="30"/>
        </w:rPr>
        <w:t xml:space="preserve">5. What ChargeFlow adds for the owner (per garage of 10)</w:t>
      </w:r>
    </w:p>
    <w:tbl>
      <w:tblPr>
        <w:tblW w:w="9906" w:type="dxa"/>
        <w:tblBorders>
          <w:top w:val="single" w:sz="4" w:color="D6D2C7"/>
          <w:left w:val="single" w:sz="4" w:color="D6D2C7"/>
          <w:bottom w:val="single" w:sz="4" w:color="D6D2C7"/>
          <w:right w:val="single" w:sz="4" w:color="D6D2C7"/>
          <w:insideH w:val="single" w:sz="4" w:color="D6D2C7"/>
          <w:insideV w:val="single" w:sz="4" w:color="D6D2C7"/>
        </w:tblBorders>
        <w:tblLayout w:type="fixed"/>
        <w:tblCellMar>
          <w:top w:w="55" w:type="dxa"/>
          <w:left w:w="90" w:type="dxa"/>
          <w:bottom w:w="55" w:type="dxa"/>
          <w:right w:w="90" w:type="dxa"/>
        </w:tblCellMar>
      </w:tblPr>
      <w:tblGrid>
        <w:gridCol w:w="3500"/>
        <w:gridCol w:w="1400"/>
        <w:gridCol w:w="1500"/>
        <w:gridCol w:w="1500"/>
        <w:gridCol w:w="2006"/>
      </w:tblGrid>
      <w:tr>
        <w:trPr>
          <w:cantSplit/>
          <w:tblHeader/>
        </w:trPr>
        <w:tc>
          <w:tcPr>
            <w:tcW w:w="3500" w:type="dxa"/>
            <w:shd w:val="clear" w:color="auto" w:fill="E3DFD6"/>
          </w:tcPr>
          <w:p>
            <w:pPr>
              <w:spacing w:after="0"/>
            </w:pPr>
            <w:r>
              <w:rPr>
                <w:rFonts w:ascii="Calibri" w:hAnsi="Calibri"/>
                <w:b/>
                <w:sz w:val="18"/>
              </w:rPr>
              <w:t xml:space="preserve">Benefit</w:t>
            </w:r>
          </w:p>
        </w:tc>
        <w:tc>
          <w:tcPr>
            <w:tcW w:w="1400" w:type="dxa"/>
            <w:shd w:val="clear" w:color="auto" w:fill="E3DFD6"/>
          </w:tcPr>
          <w:p>
            <w:pPr>
              <w:spacing w:after="0"/>
            </w:pPr>
            <w:r>
              <w:rPr>
                <w:rFonts w:ascii="Calibri" w:hAnsi="Calibri"/>
                <w:b/>
                <w:sz w:val="18"/>
              </w:rPr>
              <w:t xml:space="preserve">Conservative</w:t>
            </w:r>
          </w:p>
        </w:tc>
        <w:tc>
          <w:tcPr>
            <w:tcW w:w="1500" w:type="dxa"/>
            <w:shd w:val="clear" w:color="auto" w:fill="E3DFD6"/>
          </w:tcPr>
          <w:p>
            <w:pPr>
              <w:spacing w:after="0"/>
            </w:pPr>
            <w:r>
              <w:rPr>
                <w:rFonts w:ascii="Calibri" w:hAnsi="Calibri"/>
                <w:b/>
                <w:sz w:val="18"/>
              </w:rPr>
              <w:t xml:space="preserve">Base</w:t>
            </w:r>
          </w:p>
        </w:tc>
        <w:tc>
          <w:tcPr>
            <w:tcW w:w="1500" w:type="dxa"/>
            <w:shd w:val="clear" w:color="auto" w:fill="E3DFD6"/>
          </w:tcPr>
          <w:p>
            <w:pPr>
              <w:spacing w:after="0"/>
            </w:pPr>
            <w:r>
              <w:rPr>
                <w:rFonts w:ascii="Calibri" w:hAnsi="Calibri"/>
                <w:b/>
                <w:sz w:val="18"/>
              </w:rPr>
              <w:t xml:space="preserve">Optimistic</w:t>
            </w:r>
          </w:p>
        </w:tc>
        <w:tc>
          <w:tcPr>
            <w:tcW w:w="2006" w:type="dxa"/>
            <w:shd w:val="clear" w:color="auto" w:fill="E3DFD6"/>
          </w:tcPr>
          <w:p>
            <w:pPr>
              <w:spacing w:after="0"/>
            </w:pPr>
            <w:r>
              <w:rPr>
                <w:rFonts w:ascii="Calibri" w:hAnsi="Calibri"/>
                <w:b/>
                <w:sz w:val="18"/>
              </w:rPr>
              <w:t xml:space="preserve">Evidence</w:t>
            </w:r>
          </w:p>
        </w:tc>
      </w:tr>
      <w:tr>
        <w:trPr>
          <w:cantSplit/>
        </w:trPr>
        <w:tc>
          <w:tcPr>
            <w:tcW w:w="3500" w:type="dxa"/>
            <w:shd w:val="clear" w:color="auto" w:fill="FFFFFF"/>
          </w:tcPr>
          <w:p>
            <w:pPr>
              <w:spacing w:after="0"/>
            </w:pPr>
            <w:r>
              <w:rPr>
                <w:rFonts w:ascii="Calibri" w:hAnsi="Calibri"/>
                <w:b/>
                <w:sz w:val="18"/>
              </w:rPr>
              <w:t xml:space="preserve">Lower peak: ~4 kW less contracted load (simulated 10.5 → 6.6 kW), at about ₹100/kW/month</w:t>
            </w:r>
          </w:p>
        </w:tc>
        <w:tc>
          <w:tcPr>
            <w:tcW w:w="1400" w:type="dxa"/>
            <w:shd w:val="clear" w:color="auto" w:fill="FFFFFF"/>
          </w:tcPr>
          <w:p>
            <w:pPr>
              <w:spacing w:after="0"/>
            </w:pPr>
            <w:r>
              <w:rPr>
                <w:rFonts w:ascii="Calibri" w:hAnsi="Calibri"/>
                <w:sz w:val="18"/>
              </w:rPr>
              <w:t xml:space="preserve">₹4,800</w:t>
            </w:r>
          </w:p>
        </w:tc>
        <w:tc>
          <w:tcPr>
            <w:tcW w:w="1500" w:type="dxa"/>
            <w:shd w:val="clear" w:color="auto" w:fill="FFFFFF"/>
          </w:tcPr>
          <w:p>
            <w:pPr>
              <w:spacing w:after="0"/>
            </w:pPr>
            <w:r>
              <w:rPr>
                <w:rFonts w:ascii="Calibri" w:hAnsi="Calibri"/>
                <w:sz w:val="18"/>
              </w:rPr>
              <w:t xml:space="preserve">₹4,800</w:t>
            </w:r>
          </w:p>
        </w:tc>
        <w:tc>
          <w:tcPr>
            <w:tcW w:w="1500" w:type="dxa"/>
            <w:shd w:val="clear" w:color="auto" w:fill="FFFFFF"/>
          </w:tcPr>
          <w:p>
            <w:pPr>
              <w:spacing w:after="0"/>
            </w:pPr>
            <w:r>
              <w:rPr>
                <w:rFonts w:ascii="Calibri" w:hAnsi="Calibri"/>
                <w:sz w:val="18"/>
              </w:rPr>
              <w:t xml:space="preserve">₹4,800</w:t>
            </w:r>
          </w:p>
        </w:tc>
        <w:tc>
          <w:tcPr>
            <w:tcW w:w="2006" w:type="dxa"/>
            <w:shd w:val="clear" w:color="auto" w:fill="FFFFFF"/>
          </w:tcPr>
          <w:p>
            <w:pPr>
              <w:spacing w:after="0"/>
            </w:pPr>
            <w:r>
              <w:rPr>
                <w:rFonts w:ascii="Calibri" w:hAnsi="Calibri"/>
                <w:sz w:val="18"/>
              </w:rPr>
              <w:t xml:space="preserve">Simulation; fixed charge assumed</w:t>
            </w:r>
          </w:p>
        </w:tc>
      </w:tr>
      <w:tr>
        <w:trPr>
          <w:cantSplit/>
        </w:trPr>
        <w:tc>
          <w:tcPr>
            <w:tcW w:w="3500" w:type="dxa"/>
            <w:shd w:val="clear" w:color="auto" w:fill="F7F5F0"/>
          </w:tcPr>
          <w:p>
            <w:pPr>
              <w:spacing w:after="0"/>
            </w:pPr>
            <w:r>
              <w:rPr>
                <w:rFonts w:ascii="Calibri" w:hAnsi="Calibri"/>
                <w:b/>
                <w:sz w:val="18"/>
              </w:rPr>
              <w:t xml:space="preserve">Less float charging and better timing</w:t>
            </w:r>
          </w:p>
        </w:tc>
        <w:tc>
          <w:tcPr>
            <w:tcW w:w="1400" w:type="dxa"/>
            <w:shd w:val="clear" w:color="auto" w:fill="F7F5F0"/>
          </w:tcPr>
          <w:p>
            <w:pPr>
              <w:spacing w:after="0"/>
            </w:pPr>
            <w:r>
              <w:rPr>
                <w:rFonts w:ascii="Calibri" w:hAnsi="Calibri"/>
                <w:sz w:val="18"/>
              </w:rPr>
              <w:t xml:space="preserve">₹2,000</w:t>
            </w:r>
          </w:p>
        </w:tc>
        <w:tc>
          <w:tcPr>
            <w:tcW w:w="1500" w:type="dxa"/>
            <w:shd w:val="clear" w:color="auto" w:fill="F7F5F0"/>
          </w:tcPr>
          <w:p>
            <w:pPr>
              <w:spacing w:after="0"/>
            </w:pPr>
            <w:r>
              <w:rPr>
                <w:rFonts w:ascii="Calibri" w:hAnsi="Calibri"/>
                <w:sz w:val="18"/>
              </w:rPr>
              <w:t xml:space="preserve">₹2,000</w:t>
            </w:r>
          </w:p>
        </w:tc>
        <w:tc>
          <w:tcPr>
            <w:tcW w:w="1500" w:type="dxa"/>
            <w:shd w:val="clear" w:color="auto" w:fill="F7F5F0"/>
          </w:tcPr>
          <w:p>
            <w:pPr>
              <w:spacing w:after="0"/>
            </w:pPr>
            <w:r>
              <w:rPr>
                <w:rFonts w:ascii="Calibri" w:hAnsi="Calibri"/>
                <w:sz w:val="18"/>
              </w:rPr>
              <w:t xml:space="preserve">₹2,000</w:t>
            </w:r>
          </w:p>
        </w:tc>
        <w:tc>
          <w:tcPr>
            <w:tcW w:w="2006" w:type="dxa"/>
            <w:shd w:val="clear" w:color="auto" w:fill="F7F5F0"/>
          </w:tcPr>
          <w:p>
            <w:pPr>
              <w:spacing w:after="0"/>
            </w:pPr>
            <w:r>
              <w:rPr>
                <w:rFonts w:ascii="Calibri" w:hAnsi="Calibri"/>
                <w:sz w:val="18"/>
              </w:rPr>
              <w:t xml:space="preserve">Small; simulation</w:t>
            </w:r>
          </w:p>
        </w:tc>
      </w:tr>
      <w:tr>
        <w:trPr>
          <w:cantSplit/>
        </w:trPr>
        <w:tc>
          <w:tcPr>
            <w:tcW w:w="3500" w:type="dxa"/>
            <w:shd w:val="clear" w:color="auto" w:fill="FFFFFF"/>
          </w:tcPr>
          <w:p>
            <w:pPr>
              <w:spacing w:after="0"/>
            </w:pPr>
            <w:r>
              <w:rPr>
                <w:rFonts w:ascii="Calibri" w:hAnsi="Calibri"/>
                <w:b/>
                <w:sz w:val="18"/>
              </w:rPr>
              <w:t xml:space="preserve">Battery life gain on ₹2.4 lakh a year of batteries</w:t>
            </w:r>
          </w:p>
        </w:tc>
        <w:tc>
          <w:tcPr>
            <w:tcW w:w="1400" w:type="dxa"/>
            <w:shd w:val="clear" w:color="auto" w:fill="FFFFFF"/>
          </w:tcPr>
          <w:p>
            <w:pPr>
              <w:spacing w:after="0"/>
            </w:pPr>
            <w:r>
              <w:rPr>
                <w:rFonts w:ascii="Calibri" w:hAnsi="Calibri"/>
                <w:sz w:val="18"/>
              </w:rPr>
              <w:t xml:space="preserve">0%  =  ₹0</w:t>
            </w:r>
          </w:p>
        </w:tc>
        <w:tc>
          <w:tcPr>
            <w:tcW w:w="1500" w:type="dxa"/>
            <w:shd w:val="clear" w:color="auto" w:fill="FFFFFF"/>
          </w:tcPr>
          <w:p>
            <w:pPr>
              <w:spacing w:after="0"/>
            </w:pPr>
            <w:r>
              <w:rPr>
                <w:rFonts w:ascii="Calibri" w:hAnsi="Calibri"/>
                <w:sz w:val="18"/>
              </w:rPr>
              <w:t xml:space="preserve">5%  =  ₹12,000</w:t>
            </w:r>
          </w:p>
        </w:tc>
        <w:tc>
          <w:tcPr>
            <w:tcW w:w="1500" w:type="dxa"/>
            <w:shd w:val="clear" w:color="auto" w:fill="FFFFFF"/>
          </w:tcPr>
          <w:p>
            <w:pPr>
              <w:spacing w:after="0"/>
            </w:pPr>
            <w:r>
              <w:rPr>
                <w:rFonts w:ascii="Calibri" w:hAnsi="Calibri"/>
                <w:sz w:val="18"/>
              </w:rPr>
              <w:t xml:space="preserve">10%  =  ₹24,000</w:t>
            </w:r>
          </w:p>
        </w:tc>
        <w:tc>
          <w:tcPr>
            <w:tcW w:w="2006" w:type="dxa"/>
            <w:shd w:val="clear" w:color="auto" w:fill="FFFFFF"/>
          </w:tcPr>
          <w:p>
            <w:pPr>
              <w:spacing w:after="0"/>
            </w:pPr>
            <w:r>
              <w:rPr>
                <w:rFonts w:ascii="Calibri" w:hAnsi="Calibri"/>
                <w:sz w:val="18"/>
              </w:rPr>
              <w:t xml:space="preserve">Unproven: pilot must measure</w:t>
            </w:r>
          </w:p>
        </w:tc>
      </w:tr>
      <w:tr>
        <w:trPr>
          <w:cantSplit/>
        </w:trPr>
        <w:tc>
          <w:tcPr>
            <w:tcW w:w="3500" w:type="dxa"/>
            <w:shd w:val="clear" w:color="auto" w:fill="F7F5F0"/>
          </w:tcPr>
          <w:p>
            <w:pPr>
              <w:spacing w:after="0"/>
            </w:pPr>
            <w:r>
              <w:rPr>
                <w:rFonts w:ascii="Calibri" w:hAnsi="Calibri"/>
                <w:b/>
                <w:sz w:val="18"/>
              </w:rPr>
              <w:t xml:space="preserve">Total yearly value</w:t>
            </w:r>
          </w:p>
        </w:tc>
        <w:tc>
          <w:tcPr>
            <w:tcW w:w="1400" w:type="dxa"/>
            <w:shd w:val="clear" w:color="auto" w:fill="F7F5F0"/>
          </w:tcPr>
          <w:p>
            <w:pPr>
              <w:spacing w:after="0"/>
            </w:pPr>
            <w:r>
              <w:rPr>
                <w:rFonts w:ascii="Calibri" w:hAnsi="Calibri"/>
                <w:sz w:val="18"/>
              </w:rPr>
              <w:t xml:space="preserve">₹6,800</w:t>
            </w:r>
          </w:p>
        </w:tc>
        <w:tc>
          <w:tcPr>
            <w:tcW w:w="1500" w:type="dxa"/>
            <w:shd w:val="clear" w:color="auto" w:fill="F7F5F0"/>
          </w:tcPr>
          <w:p>
            <w:pPr>
              <w:spacing w:after="0"/>
            </w:pPr>
            <w:r>
              <w:rPr>
                <w:rFonts w:ascii="Calibri" w:hAnsi="Calibri"/>
                <w:sz w:val="18"/>
              </w:rPr>
              <w:t xml:space="preserve">₹18,800</w:t>
            </w:r>
          </w:p>
        </w:tc>
        <w:tc>
          <w:tcPr>
            <w:tcW w:w="1500" w:type="dxa"/>
            <w:shd w:val="clear" w:color="auto" w:fill="F7F5F0"/>
          </w:tcPr>
          <w:p>
            <w:pPr>
              <w:spacing w:after="0"/>
            </w:pPr>
            <w:r>
              <w:rPr>
                <w:rFonts w:ascii="Calibri" w:hAnsi="Calibri"/>
                <w:sz w:val="18"/>
              </w:rPr>
              <w:t xml:space="preserve">₹30,800</w:t>
            </w:r>
          </w:p>
        </w:tc>
        <w:tc>
          <w:tcPr>
            <w:tcW w:w="2006" w:type="dxa"/>
            <w:shd w:val="clear" w:color="auto" w:fill="F7F5F0"/>
          </w:tcPr>
          <w:p>
            <w:pPr>
              <w:spacing w:after="0"/>
            </w:pPr>
            <w:r>
              <w:rPr>
                <w:rFonts w:ascii="Calibri" w:hAnsi="Calibri"/>
                <w:sz w:val="18"/>
              </w:rPr>
              <w:t xml:space="preserve"/>
            </w:r>
          </w:p>
        </w:tc>
      </w:tr>
      <w:tr>
        <w:trPr>
          <w:cantSplit/>
        </w:trPr>
        <w:tc>
          <w:tcPr>
            <w:tcW w:w="3500" w:type="dxa"/>
            <w:shd w:val="clear" w:color="auto" w:fill="FFFFFF"/>
          </w:tcPr>
          <w:p>
            <w:pPr>
              <w:spacing w:after="0"/>
            </w:pPr>
            <w:r>
              <w:rPr>
                <w:rFonts w:ascii="Calibri" w:hAnsi="Calibri"/>
                <w:b/>
                <w:sz w:val="18"/>
              </w:rPr>
              <w:t xml:space="preserve">Subscription (₹600 / ₹800 / ₹1,000 a month; hardware included)</w:t>
            </w:r>
          </w:p>
        </w:tc>
        <w:tc>
          <w:tcPr>
            <w:tcW w:w="1400" w:type="dxa"/>
            <w:shd w:val="clear" w:color="auto" w:fill="FFFFFF"/>
          </w:tcPr>
          <w:p>
            <w:pPr>
              <w:spacing w:after="0"/>
            </w:pPr>
            <w:r>
              <w:rPr>
                <w:rFonts w:ascii="Calibri" w:hAnsi="Calibri"/>
                <w:sz w:val="18"/>
              </w:rPr>
              <w:t xml:space="preserve">₹7,200</w:t>
            </w:r>
          </w:p>
        </w:tc>
        <w:tc>
          <w:tcPr>
            <w:tcW w:w="1500" w:type="dxa"/>
            <w:shd w:val="clear" w:color="auto" w:fill="FFFFFF"/>
          </w:tcPr>
          <w:p>
            <w:pPr>
              <w:spacing w:after="0"/>
            </w:pPr>
            <w:r>
              <w:rPr>
                <w:rFonts w:ascii="Calibri" w:hAnsi="Calibri"/>
                <w:sz w:val="18"/>
              </w:rPr>
              <w:t xml:space="preserve">₹9,600</w:t>
            </w:r>
          </w:p>
        </w:tc>
        <w:tc>
          <w:tcPr>
            <w:tcW w:w="1500" w:type="dxa"/>
            <w:shd w:val="clear" w:color="auto" w:fill="FFFFFF"/>
          </w:tcPr>
          <w:p>
            <w:pPr>
              <w:spacing w:after="0"/>
            </w:pPr>
            <w:r>
              <w:rPr>
                <w:rFonts w:ascii="Calibri" w:hAnsi="Calibri"/>
                <w:sz w:val="18"/>
              </w:rPr>
              <w:t xml:space="preserve">₹12,000</w:t>
            </w:r>
          </w:p>
        </w:tc>
        <w:tc>
          <w:tcPr>
            <w:tcW w:w="2006" w:type="dxa"/>
            <w:shd w:val="clear" w:color="auto" w:fill="FFFFFF"/>
          </w:tcPr>
          <w:p>
            <w:pPr>
              <w:spacing w:after="0"/>
            </w:pPr>
            <w:r>
              <w:rPr>
                <w:rFonts w:ascii="Calibri" w:hAnsi="Calibri"/>
                <w:sz w:val="18"/>
              </w:rPr>
              <w:t xml:space="preserve">Our price</w:t>
            </w:r>
          </w:p>
        </w:tc>
      </w:tr>
      <w:tr>
        <w:trPr>
          <w:cantSplit/>
        </w:trPr>
        <w:tc>
          <w:tcPr>
            <w:tcW w:w="3500" w:type="dxa"/>
            <w:shd w:val="clear" w:color="auto" w:fill="F7F5F0"/>
          </w:tcPr>
          <w:p>
            <w:pPr>
              <w:spacing w:after="0"/>
            </w:pPr>
            <w:r>
              <w:rPr>
                <w:rFonts w:ascii="Calibri" w:hAnsi="Calibri"/>
                <w:b/>
                <w:sz w:val="18"/>
              </w:rPr>
              <w:t xml:space="preserve">Owner's net gain</w:t>
            </w:r>
          </w:p>
        </w:tc>
        <w:tc>
          <w:tcPr>
            <w:tcW w:w="1400" w:type="dxa"/>
            <w:shd w:val="clear" w:color="auto" w:fill="F7F5F0"/>
          </w:tcPr>
          <w:p>
            <w:pPr>
              <w:spacing w:after="0"/>
            </w:pPr>
            <w:r>
              <w:rPr>
                <w:rFonts w:ascii="Calibri" w:hAnsi="Calibri"/>
                <w:sz w:val="18"/>
              </w:rPr>
              <w:t xml:space="preserve">₹-400</w:t>
            </w:r>
          </w:p>
        </w:tc>
        <w:tc>
          <w:tcPr>
            <w:tcW w:w="1500" w:type="dxa"/>
            <w:shd w:val="clear" w:color="auto" w:fill="F7F5F0"/>
          </w:tcPr>
          <w:p>
            <w:pPr>
              <w:spacing w:after="0"/>
            </w:pPr>
            <w:r>
              <w:rPr>
                <w:rFonts w:ascii="Calibri" w:hAnsi="Calibri"/>
                <w:sz w:val="18"/>
              </w:rPr>
              <w:t xml:space="preserve">₹9,200</w:t>
            </w:r>
          </w:p>
        </w:tc>
        <w:tc>
          <w:tcPr>
            <w:tcW w:w="1500" w:type="dxa"/>
            <w:shd w:val="clear" w:color="auto" w:fill="F7F5F0"/>
          </w:tcPr>
          <w:p>
            <w:pPr>
              <w:spacing w:after="0"/>
            </w:pPr>
            <w:r>
              <w:rPr>
                <w:rFonts w:ascii="Calibri" w:hAnsi="Calibri"/>
                <w:sz w:val="18"/>
              </w:rPr>
              <w:t xml:space="preserve">₹18,800</w:t>
            </w:r>
          </w:p>
        </w:tc>
        <w:tc>
          <w:tcPr>
            <w:tcW w:w="2006" w:type="dxa"/>
            <w:shd w:val="clear" w:color="auto" w:fill="F7F5F0"/>
          </w:tcPr>
          <w:p>
            <w:pPr>
              <w:spacing w:after="0"/>
            </w:pPr>
            <w:r>
              <w:rPr>
                <w:rFonts w:ascii="Calibri" w:hAnsi="Calibri"/>
                <w:sz w:val="18"/>
              </w:rPr>
              <w:t xml:space="preserve"/>
            </w:r>
          </w:p>
        </w:tc>
      </w:tr>
    </w:tbl>
    <w:p>
      <w:pPr>
        <w:spacing w:after="140"/>
      </w:pPr>
      <w:r>
        <w:rPr>
          <w:rFonts w:ascii="Calibri" w:hAnsi="Calibri"/>
          <w:sz w:val="22"/>
        </w:rPr>
        <w:t xml:space="preserve"/>
      </w:r>
    </w:p>
    <w:p>
      <w:pPr>
        <w:spacing w:after="180"/>
      </w:pPr>
      <w:r>
        <w:rPr>
          <w:rFonts w:ascii="Calibri" w:hAnsi="Calibri"/>
          <w:i/>
          <w:color w:val="6B7078"/>
          <w:sz w:val="18"/>
        </w:rPr>
        <w:t xml:space="preserve">We left out avoided breaker trips, downtime and fire risk because we have no data on them. They would only add to the value. We could not confirm the fixed charge per kW; check a bill.</w:t>
      </w:r>
    </w:p>
    <w:p>
      <w:pPr>
        <w:pStyle w:val="Heading1"/>
        <w:keepNext/>
        <w:spacing w:after="100"/>
      </w:pPr>
      <w:r>
        <w:rPr>
          <w:rFonts w:ascii="Calibri" w:hAnsi="Calibri"/>
          <w:b/>
          <w:color w:val="171A20"/>
          <w:sz w:val="30"/>
        </w:rPr>
        <w:t xml:space="preserve">6. Our company: unit economics and breakeven</w:t>
      </w:r>
    </w:p>
    <w:tbl>
      <w:tblPr>
        <w:tblW w:w="9906" w:type="dxa"/>
        <w:tblBorders>
          <w:top w:val="single" w:sz="4" w:color="D6D2C7"/>
          <w:left w:val="single" w:sz="4" w:color="D6D2C7"/>
          <w:bottom w:val="single" w:sz="4" w:color="D6D2C7"/>
          <w:right w:val="single" w:sz="4" w:color="D6D2C7"/>
          <w:insideH w:val="single" w:sz="4" w:color="D6D2C7"/>
          <w:insideV w:val="single" w:sz="4" w:color="D6D2C7"/>
        </w:tblBorders>
        <w:tblLayout w:type="fixed"/>
        <w:tblCellMar>
          <w:top w:w="55" w:type="dxa"/>
          <w:left w:w="90" w:type="dxa"/>
          <w:bottom w:w="55" w:type="dxa"/>
          <w:right w:w="90" w:type="dxa"/>
        </w:tblCellMar>
      </w:tblPr>
      <w:tblGrid>
        <w:gridCol w:w="3900"/>
        <w:gridCol w:w="1900"/>
        <w:gridCol w:w="2000"/>
        <w:gridCol w:w="2106"/>
      </w:tblGrid>
      <w:tr>
        <w:trPr>
          <w:cantSplit/>
          <w:tblHeader/>
        </w:trPr>
        <w:tc>
          <w:tcPr>
            <w:tcW w:w="3900" w:type="dxa"/>
            <w:shd w:val="clear" w:color="auto" w:fill="E3DFD6"/>
          </w:tcPr>
          <w:p>
            <w:pPr>
              <w:spacing w:after="0"/>
            </w:pPr>
            <w:r>
              <w:rPr>
                <w:rFonts w:ascii="Calibri" w:hAnsi="Calibri"/>
                <w:b/>
                <w:sz w:val="18"/>
              </w:rPr>
              <w:t xml:space="preserve">Assumption / result</w:t>
            </w:r>
          </w:p>
        </w:tc>
        <w:tc>
          <w:tcPr>
            <w:tcW w:w="1900" w:type="dxa"/>
            <w:shd w:val="clear" w:color="auto" w:fill="E3DFD6"/>
          </w:tcPr>
          <w:p>
            <w:pPr>
              <w:spacing w:after="0"/>
            </w:pPr>
            <w:r>
              <w:rPr>
                <w:rFonts w:ascii="Calibri" w:hAnsi="Calibri"/>
                <w:b/>
                <w:sz w:val="18"/>
              </w:rPr>
              <w:t xml:space="preserve">Conservative</w:t>
            </w:r>
          </w:p>
        </w:tc>
        <w:tc>
          <w:tcPr>
            <w:tcW w:w="2000" w:type="dxa"/>
            <w:shd w:val="clear" w:color="auto" w:fill="E3DFD6"/>
          </w:tcPr>
          <w:p>
            <w:pPr>
              <w:spacing w:after="0"/>
            </w:pPr>
            <w:r>
              <w:rPr>
                <w:rFonts w:ascii="Calibri" w:hAnsi="Calibri"/>
                <w:b/>
                <w:sz w:val="18"/>
              </w:rPr>
              <w:t xml:space="preserve">Base</w:t>
            </w:r>
          </w:p>
        </w:tc>
        <w:tc>
          <w:tcPr>
            <w:tcW w:w="2106" w:type="dxa"/>
            <w:shd w:val="clear" w:color="auto" w:fill="E3DFD6"/>
          </w:tcPr>
          <w:p>
            <w:pPr>
              <w:spacing w:after="0"/>
            </w:pPr>
            <w:r>
              <w:rPr>
                <w:rFonts w:ascii="Calibri" w:hAnsi="Calibri"/>
                <w:b/>
                <w:sz w:val="18"/>
              </w:rPr>
              <w:t xml:space="preserve">Optimistic</w:t>
            </w:r>
          </w:p>
        </w:tc>
      </w:tr>
      <w:tr>
        <w:trPr>
          <w:cantSplit/>
        </w:trPr>
        <w:tc>
          <w:tcPr>
            <w:tcW w:w="3900" w:type="dxa"/>
            <w:shd w:val="clear" w:color="auto" w:fill="FFFFFF"/>
          </w:tcPr>
          <w:p>
            <w:pPr>
              <w:spacing w:after="0"/>
            </w:pPr>
            <w:r>
              <w:rPr>
                <w:rFonts w:ascii="Calibri" w:hAnsi="Calibri"/>
                <w:b/>
                <w:sz w:val="18"/>
              </w:rPr>
              <w:t xml:space="preserve">Subscription per garage per month</w:t>
            </w:r>
          </w:p>
        </w:tc>
        <w:tc>
          <w:tcPr>
            <w:tcW w:w="1900" w:type="dxa"/>
            <w:shd w:val="clear" w:color="auto" w:fill="FFFFFF"/>
          </w:tcPr>
          <w:p>
            <w:pPr>
              <w:spacing w:after="0"/>
            </w:pPr>
            <w:r>
              <w:rPr>
                <w:rFonts w:ascii="Calibri" w:hAnsi="Calibri"/>
                <w:sz w:val="18"/>
              </w:rPr>
              <w:t xml:space="preserve">₹600</w:t>
            </w:r>
          </w:p>
        </w:tc>
        <w:tc>
          <w:tcPr>
            <w:tcW w:w="2000" w:type="dxa"/>
            <w:shd w:val="clear" w:color="auto" w:fill="E8EEFB"/>
          </w:tcPr>
          <w:p>
            <w:pPr>
              <w:spacing w:after="0"/>
            </w:pPr>
            <w:r>
              <w:rPr>
                <w:rFonts w:ascii="Calibri" w:hAnsi="Calibri"/>
                <w:sz w:val="18"/>
              </w:rPr>
              <w:t xml:space="preserve">₹800</w:t>
            </w:r>
          </w:p>
        </w:tc>
        <w:tc>
          <w:tcPr>
            <w:tcW w:w="2106" w:type="dxa"/>
            <w:shd w:val="clear" w:color="auto" w:fill="FFFFFF"/>
          </w:tcPr>
          <w:p>
            <w:pPr>
              <w:spacing w:after="0"/>
            </w:pPr>
            <w:r>
              <w:rPr>
                <w:rFonts w:ascii="Calibri" w:hAnsi="Calibri"/>
                <w:sz w:val="18"/>
              </w:rPr>
              <w:t xml:space="preserve">₹1,000</w:t>
            </w:r>
          </w:p>
        </w:tc>
      </w:tr>
      <w:tr>
        <w:trPr>
          <w:cantSplit/>
        </w:trPr>
        <w:tc>
          <w:tcPr>
            <w:tcW w:w="3900" w:type="dxa"/>
            <w:shd w:val="clear" w:color="auto" w:fill="F7F5F0"/>
          </w:tcPr>
          <w:p>
            <w:pPr>
              <w:spacing w:after="0"/>
            </w:pPr>
            <w:r>
              <w:rPr>
                <w:rFonts w:ascii="Calibri" w:hAnsi="Calibri"/>
                <w:b/>
                <w:sz w:val="18"/>
              </w:rPr>
              <w:t xml:space="preserve">Hardware per garage (controller, relays, meters, install)</w:t>
            </w:r>
          </w:p>
        </w:tc>
        <w:tc>
          <w:tcPr>
            <w:tcW w:w="1900" w:type="dxa"/>
            <w:shd w:val="clear" w:color="auto" w:fill="F7F5F0"/>
          </w:tcPr>
          <w:p>
            <w:pPr>
              <w:spacing w:after="0"/>
            </w:pPr>
            <w:r>
              <w:rPr>
                <w:rFonts w:ascii="Calibri" w:hAnsi="Calibri"/>
                <w:sz w:val="18"/>
              </w:rPr>
              <w:t xml:space="preserve">₹10,000</w:t>
            </w:r>
          </w:p>
        </w:tc>
        <w:tc>
          <w:tcPr>
            <w:tcW w:w="2000" w:type="dxa"/>
            <w:shd w:val="clear" w:color="auto" w:fill="E8EEFB"/>
          </w:tcPr>
          <w:p>
            <w:pPr>
              <w:spacing w:after="0"/>
            </w:pPr>
            <w:r>
              <w:rPr>
                <w:rFonts w:ascii="Calibri" w:hAnsi="Calibri"/>
                <w:sz w:val="18"/>
              </w:rPr>
              <w:t xml:space="preserve">₹8,000</w:t>
            </w:r>
          </w:p>
        </w:tc>
        <w:tc>
          <w:tcPr>
            <w:tcW w:w="2106" w:type="dxa"/>
            <w:shd w:val="clear" w:color="auto" w:fill="F7F5F0"/>
          </w:tcPr>
          <w:p>
            <w:pPr>
              <w:spacing w:after="0"/>
            </w:pPr>
            <w:r>
              <w:rPr>
                <w:rFonts w:ascii="Calibri" w:hAnsi="Calibri"/>
                <w:sz w:val="18"/>
              </w:rPr>
              <w:t xml:space="preserve">₹6,000</w:t>
            </w:r>
          </w:p>
        </w:tc>
      </w:tr>
      <w:tr>
        <w:trPr>
          <w:cantSplit/>
        </w:trPr>
        <w:tc>
          <w:tcPr>
            <w:tcW w:w="3900" w:type="dxa"/>
            <w:shd w:val="clear" w:color="auto" w:fill="FFFFFF"/>
          </w:tcPr>
          <w:p>
            <w:pPr>
              <w:spacing w:after="0"/>
            </w:pPr>
            <w:r>
              <w:rPr>
                <w:rFonts w:ascii="Calibri" w:hAnsi="Calibri"/>
                <w:b/>
                <w:sz w:val="18"/>
              </w:rPr>
              <w:t xml:space="preserve">Variable cost per garage per year (data, cloud, remote support)</w:t>
            </w:r>
          </w:p>
        </w:tc>
        <w:tc>
          <w:tcPr>
            <w:tcW w:w="1900" w:type="dxa"/>
            <w:shd w:val="clear" w:color="auto" w:fill="FFFFFF"/>
          </w:tcPr>
          <w:p>
            <w:pPr>
              <w:spacing w:after="0"/>
            </w:pPr>
            <w:r>
              <w:rPr>
                <w:rFonts w:ascii="Calibri" w:hAnsi="Calibri"/>
                <w:sz w:val="18"/>
              </w:rPr>
              <w:t xml:space="preserve">₹4,000</w:t>
            </w:r>
          </w:p>
        </w:tc>
        <w:tc>
          <w:tcPr>
            <w:tcW w:w="2000" w:type="dxa"/>
            <w:shd w:val="clear" w:color="auto" w:fill="E8EEFB"/>
          </w:tcPr>
          <w:p>
            <w:pPr>
              <w:spacing w:after="0"/>
            </w:pPr>
            <w:r>
              <w:rPr>
                <w:rFonts w:ascii="Calibri" w:hAnsi="Calibri"/>
                <w:sz w:val="18"/>
              </w:rPr>
              <w:t xml:space="preserve">₹3,000</w:t>
            </w:r>
          </w:p>
        </w:tc>
        <w:tc>
          <w:tcPr>
            <w:tcW w:w="2106" w:type="dxa"/>
            <w:shd w:val="clear" w:color="auto" w:fill="FFFFFF"/>
          </w:tcPr>
          <w:p>
            <w:pPr>
              <w:spacing w:after="0"/>
            </w:pPr>
            <w:r>
              <w:rPr>
                <w:rFonts w:ascii="Calibri" w:hAnsi="Calibri"/>
                <w:sz w:val="18"/>
              </w:rPr>
              <w:t xml:space="preserve">₹2,500</w:t>
            </w:r>
          </w:p>
        </w:tc>
      </w:tr>
      <w:tr>
        <w:trPr>
          <w:cantSplit/>
        </w:trPr>
        <w:tc>
          <w:tcPr>
            <w:tcW w:w="3900" w:type="dxa"/>
            <w:shd w:val="clear" w:color="auto" w:fill="F7F5F0"/>
          </w:tcPr>
          <w:p>
            <w:pPr>
              <w:spacing w:after="0"/>
            </w:pPr>
            <w:r>
              <w:rPr>
                <w:rFonts w:ascii="Calibri" w:hAnsi="Calibri"/>
                <w:b/>
                <w:sz w:val="18"/>
              </w:rPr>
              <w:t xml:space="preserve">Solar partner commission per install; share of garages that buy</w:t>
            </w:r>
          </w:p>
        </w:tc>
        <w:tc>
          <w:tcPr>
            <w:tcW w:w="1900" w:type="dxa"/>
            <w:shd w:val="clear" w:color="auto" w:fill="F7F5F0"/>
          </w:tcPr>
          <w:p>
            <w:pPr>
              <w:spacing w:after="0"/>
            </w:pPr>
            <w:r>
              <w:rPr>
                <w:rFonts w:ascii="Calibri" w:hAnsi="Calibri"/>
                <w:sz w:val="18"/>
              </w:rPr>
              <w:t xml:space="preserve">₹6,000; 20%</w:t>
            </w:r>
          </w:p>
        </w:tc>
        <w:tc>
          <w:tcPr>
            <w:tcW w:w="2000" w:type="dxa"/>
            <w:shd w:val="clear" w:color="auto" w:fill="E8EEFB"/>
          </w:tcPr>
          <w:p>
            <w:pPr>
              <w:spacing w:after="0"/>
            </w:pPr>
            <w:r>
              <w:rPr>
                <w:rFonts w:ascii="Calibri" w:hAnsi="Calibri"/>
                <w:sz w:val="18"/>
              </w:rPr>
              <w:t xml:space="preserve">₹8,000; 30%</w:t>
            </w:r>
          </w:p>
        </w:tc>
        <w:tc>
          <w:tcPr>
            <w:tcW w:w="2106" w:type="dxa"/>
            <w:shd w:val="clear" w:color="auto" w:fill="F7F5F0"/>
          </w:tcPr>
          <w:p>
            <w:pPr>
              <w:spacing w:after="0"/>
            </w:pPr>
            <w:r>
              <w:rPr>
                <w:rFonts w:ascii="Calibri" w:hAnsi="Calibri"/>
                <w:sz w:val="18"/>
              </w:rPr>
              <w:t xml:space="preserve">₹10,000; 40%</w:t>
            </w:r>
          </w:p>
        </w:tc>
      </w:tr>
      <w:tr>
        <w:trPr>
          <w:cantSplit/>
        </w:trPr>
        <w:tc>
          <w:tcPr>
            <w:tcW w:w="3900" w:type="dxa"/>
            <w:shd w:val="clear" w:color="auto" w:fill="FFFFFF"/>
          </w:tcPr>
          <w:p>
            <w:pPr>
              <w:spacing w:after="0"/>
            </w:pPr>
            <w:r>
              <w:rPr>
                <w:rFonts w:ascii="Calibri" w:hAnsi="Calibri"/>
                <w:b/>
                <w:sz w:val="18"/>
              </w:rPr>
              <w:t xml:space="preserve">Acquisition cost per garage (one visit, demo)</w:t>
            </w:r>
          </w:p>
        </w:tc>
        <w:tc>
          <w:tcPr>
            <w:tcW w:w="1900" w:type="dxa"/>
            <w:shd w:val="clear" w:color="auto" w:fill="FFFFFF"/>
          </w:tcPr>
          <w:p>
            <w:pPr>
              <w:spacing w:after="0"/>
            </w:pPr>
            <w:r>
              <w:rPr>
                <w:rFonts w:ascii="Calibri" w:hAnsi="Calibri"/>
                <w:sz w:val="18"/>
              </w:rPr>
              <w:t xml:space="preserve">₹4,000</w:t>
            </w:r>
          </w:p>
        </w:tc>
        <w:tc>
          <w:tcPr>
            <w:tcW w:w="2000" w:type="dxa"/>
            <w:shd w:val="clear" w:color="auto" w:fill="E8EEFB"/>
          </w:tcPr>
          <w:p>
            <w:pPr>
              <w:spacing w:after="0"/>
            </w:pPr>
            <w:r>
              <w:rPr>
                <w:rFonts w:ascii="Calibri" w:hAnsi="Calibri"/>
                <w:sz w:val="18"/>
              </w:rPr>
              <w:t xml:space="preserve">₹3,000</w:t>
            </w:r>
          </w:p>
        </w:tc>
        <w:tc>
          <w:tcPr>
            <w:tcW w:w="2106" w:type="dxa"/>
            <w:shd w:val="clear" w:color="auto" w:fill="FFFFFF"/>
          </w:tcPr>
          <w:p>
            <w:pPr>
              <w:spacing w:after="0"/>
            </w:pPr>
            <w:r>
              <w:rPr>
                <w:rFonts w:ascii="Calibri" w:hAnsi="Calibri"/>
                <w:sz w:val="18"/>
              </w:rPr>
              <w:t xml:space="preserve">₹2,000</w:t>
            </w:r>
          </w:p>
        </w:tc>
      </w:tr>
      <w:tr>
        <w:trPr>
          <w:cantSplit/>
        </w:trPr>
        <w:tc>
          <w:tcPr>
            <w:tcW w:w="3900" w:type="dxa"/>
            <w:shd w:val="clear" w:color="auto" w:fill="F7F5F0"/>
          </w:tcPr>
          <w:p>
            <w:pPr>
              <w:spacing w:after="0"/>
            </w:pPr>
            <w:r>
              <w:rPr>
                <w:rFonts w:ascii="Calibri" w:hAnsi="Calibri"/>
                <w:b/>
                <w:sz w:val="18"/>
              </w:rPr>
              <w:t xml:space="preserve">Fixed team and tools per year (2 staff, travel, cloud)</w:t>
            </w:r>
          </w:p>
        </w:tc>
        <w:tc>
          <w:tcPr>
            <w:tcW w:w="1900" w:type="dxa"/>
            <w:shd w:val="clear" w:color="auto" w:fill="F7F5F0"/>
          </w:tcPr>
          <w:p>
            <w:pPr>
              <w:spacing w:after="0"/>
            </w:pPr>
            <w:r>
              <w:rPr>
                <w:rFonts w:ascii="Calibri" w:hAnsi="Calibri"/>
                <w:sz w:val="18"/>
              </w:rPr>
              <w:t xml:space="preserve">₹15 lakh</w:t>
            </w:r>
          </w:p>
        </w:tc>
        <w:tc>
          <w:tcPr>
            <w:tcW w:w="2000" w:type="dxa"/>
            <w:shd w:val="clear" w:color="auto" w:fill="E8EEFB"/>
          </w:tcPr>
          <w:p>
            <w:pPr>
              <w:spacing w:after="0"/>
            </w:pPr>
            <w:r>
              <w:rPr>
                <w:rFonts w:ascii="Calibri" w:hAnsi="Calibri"/>
                <w:sz w:val="18"/>
              </w:rPr>
              <w:t xml:space="preserve">₹12 lakh</w:t>
            </w:r>
          </w:p>
        </w:tc>
        <w:tc>
          <w:tcPr>
            <w:tcW w:w="2106" w:type="dxa"/>
            <w:shd w:val="clear" w:color="auto" w:fill="F7F5F0"/>
          </w:tcPr>
          <w:p>
            <w:pPr>
              <w:spacing w:after="0"/>
            </w:pPr>
            <w:r>
              <w:rPr>
                <w:rFonts w:ascii="Calibri" w:hAnsi="Calibri"/>
                <w:sz w:val="18"/>
              </w:rPr>
              <w:t xml:space="preserve">₹10 lakh</w:t>
            </w:r>
          </w:p>
        </w:tc>
      </w:tr>
      <w:tr>
        <w:trPr>
          <w:cantSplit/>
        </w:trPr>
        <w:tc>
          <w:tcPr>
            <w:tcW w:w="3900" w:type="dxa"/>
            <w:shd w:val="clear" w:color="auto" w:fill="FFFFFF"/>
          </w:tcPr>
          <w:p>
            <w:pPr>
              <w:spacing w:after="0"/>
            </w:pPr>
            <w:r>
              <w:rPr>
                <w:rFonts w:ascii="Calibri" w:hAnsi="Calibri"/>
                <w:b/>
                <w:sz w:val="18"/>
              </w:rPr>
              <w:t xml:space="preserve">Contribution per garage per month</w:t>
            </w:r>
          </w:p>
        </w:tc>
        <w:tc>
          <w:tcPr>
            <w:tcW w:w="1900" w:type="dxa"/>
            <w:shd w:val="clear" w:color="auto" w:fill="FFFFFF"/>
          </w:tcPr>
          <w:p>
            <w:pPr>
              <w:spacing w:after="0"/>
            </w:pPr>
            <w:r>
              <w:rPr>
                <w:rFonts w:ascii="Calibri" w:hAnsi="Calibri"/>
                <w:sz w:val="18"/>
              </w:rPr>
              <w:t xml:space="preserve">₹300</w:t>
            </w:r>
          </w:p>
        </w:tc>
        <w:tc>
          <w:tcPr>
            <w:tcW w:w="2000" w:type="dxa"/>
            <w:shd w:val="clear" w:color="auto" w:fill="E8EEFB"/>
          </w:tcPr>
          <w:p>
            <w:pPr>
              <w:spacing w:after="0"/>
            </w:pPr>
            <w:r>
              <w:rPr>
                <w:rFonts w:ascii="Calibri" w:hAnsi="Calibri"/>
                <w:sz w:val="18"/>
              </w:rPr>
              <w:t xml:space="preserve">₹617</w:t>
            </w:r>
          </w:p>
        </w:tc>
        <w:tc>
          <w:tcPr>
            <w:tcW w:w="2106" w:type="dxa"/>
            <w:shd w:val="clear" w:color="auto" w:fill="FFFFFF"/>
          </w:tcPr>
          <w:p>
            <w:pPr>
              <w:spacing w:after="0"/>
            </w:pPr>
            <w:r>
              <w:rPr>
                <w:rFonts w:ascii="Calibri" w:hAnsi="Calibri"/>
                <w:sz w:val="18"/>
              </w:rPr>
              <w:t xml:space="preserve">₹903</w:t>
            </w:r>
          </w:p>
        </w:tc>
      </w:tr>
      <w:tr>
        <w:trPr>
          <w:cantSplit/>
        </w:trPr>
        <w:tc>
          <w:tcPr>
            <w:tcW w:w="3900" w:type="dxa"/>
            <w:shd w:val="clear" w:color="auto" w:fill="F7F5F0"/>
          </w:tcPr>
          <w:p>
            <w:pPr>
              <w:spacing w:after="0"/>
            </w:pPr>
            <w:r>
              <w:rPr>
                <w:rFonts w:ascii="Calibri" w:hAnsi="Calibri"/>
                <w:b/>
                <w:sz w:val="18"/>
              </w:rPr>
              <w:t xml:space="preserve">Payback of hardware + acquisition per garage</w:t>
            </w:r>
          </w:p>
        </w:tc>
        <w:tc>
          <w:tcPr>
            <w:tcW w:w="1900" w:type="dxa"/>
            <w:shd w:val="clear" w:color="auto" w:fill="F7F5F0"/>
          </w:tcPr>
          <w:p>
            <w:pPr>
              <w:spacing w:after="0"/>
            </w:pPr>
            <w:r>
              <w:rPr>
                <w:rFonts w:ascii="Calibri" w:hAnsi="Calibri"/>
                <w:sz w:val="18"/>
              </w:rPr>
              <w:t xml:space="preserve">3.9 years</w:t>
            </w:r>
          </w:p>
        </w:tc>
        <w:tc>
          <w:tcPr>
            <w:tcW w:w="2000" w:type="dxa"/>
            <w:shd w:val="clear" w:color="auto" w:fill="E8EEFB"/>
          </w:tcPr>
          <w:p>
            <w:pPr>
              <w:spacing w:after="0"/>
            </w:pPr>
            <w:r>
              <w:rPr>
                <w:rFonts w:ascii="Calibri" w:hAnsi="Calibri"/>
                <w:sz w:val="18"/>
              </w:rPr>
              <w:t xml:space="preserve">1.5 years</w:t>
            </w:r>
          </w:p>
        </w:tc>
        <w:tc>
          <w:tcPr>
            <w:tcW w:w="2106" w:type="dxa"/>
            <w:shd w:val="clear" w:color="auto" w:fill="F7F5F0"/>
          </w:tcPr>
          <w:p>
            <w:pPr>
              <w:spacing w:after="0"/>
            </w:pPr>
            <w:r>
              <w:rPr>
                <w:rFonts w:ascii="Calibri" w:hAnsi="Calibri"/>
                <w:sz w:val="18"/>
              </w:rPr>
              <w:t xml:space="preserve">0.7 years</w:t>
            </w:r>
          </w:p>
        </w:tc>
      </w:tr>
      <w:tr>
        <w:trPr>
          <w:cantSplit/>
        </w:trPr>
        <w:tc>
          <w:tcPr>
            <w:tcW w:w="3900" w:type="dxa"/>
            <w:shd w:val="clear" w:color="auto" w:fill="FFFFFF"/>
          </w:tcPr>
          <w:p>
            <w:pPr>
              <w:spacing w:after="0"/>
            </w:pPr>
            <w:r>
              <w:rPr>
                <w:rFonts w:ascii="Calibri" w:hAnsi="Calibri"/>
                <w:b/>
                <w:sz w:val="18"/>
              </w:rPr>
              <w:t xml:space="preserve">Breakeven garages (vehicles)</w:t>
            </w:r>
          </w:p>
        </w:tc>
        <w:tc>
          <w:tcPr>
            <w:tcW w:w="1900" w:type="dxa"/>
            <w:shd w:val="clear" w:color="auto" w:fill="FFFFFF"/>
          </w:tcPr>
          <w:p>
            <w:pPr>
              <w:spacing w:after="0"/>
            </w:pPr>
            <w:r>
              <w:rPr>
                <w:rFonts w:ascii="Calibri" w:hAnsi="Calibri"/>
                <w:sz w:val="18"/>
              </w:rPr>
              <w:t xml:space="preserve">417 (4,167)</w:t>
            </w:r>
          </w:p>
        </w:tc>
        <w:tc>
          <w:tcPr>
            <w:tcW w:w="2000" w:type="dxa"/>
            <w:shd w:val="clear" w:color="auto" w:fill="E8EEFB"/>
          </w:tcPr>
          <w:p>
            <w:pPr>
              <w:spacing w:after="0"/>
            </w:pPr>
            <w:r>
              <w:rPr>
                <w:rFonts w:ascii="Calibri" w:hAnsi="Calibri"/>
                <w:sz w:val="18"/>
              </w:rPr>
              <w:t xml:space="preserve">162 (1,622)</w:t>
            </w:r>
          </w:p>
        </w:tc>
        <w:tc>
          <w:tcPr>
            <w:tcW w:w="2106" w:type="dxa"/>
            <w:shd w:val="clear" w:color="auto" w:fill="FFFFFF"/>
          </w:tcPr>
          <w:p>
            <w:pPr>
              <w:spacing w:after="0"/>
            </w:pPr>
            <w:r>
              <w:rPr>
                <w:rFonts w:ascii="Calibri" w:hAnsi="Calibri"/>
                <w:sz w:val="18"/>
              </w:rPr>
              <w:t xml:space="preserve">92 (923)</w:t>
            </w:r>
          </w:p>
        </w:tc>
      </w:tr>
      <w:tr>
        <w:trPr>
          <w:cantSplit/>
        </w:trPr>
        <w:tc>
          <w:tcPr>
            <w:tcW w:w="3900" w:type="dxa"/>
            <w:shd w:val="clear" w:color="auto" w:fill="F7F5F0"/>
          </w:tcPr>
          <w:p>
            <w:pPr>
              <w:spacing w:after="0"/>
            </w:pPr>
            <w:r>
              <w:rPr>
                <w:rFonts w:ascii="Calibri" w:hAnsi="Calibri"/>
                <w:b/>
                <w:sz w:val="18"/>
              </w:rPr>
              <w:t xml:space="preserve">Upfront cash to reach breakeven</w:t>
            </w:r>
          </w:p>
        </w:tc>
        <w:tc>
          <w:tcPr>
            <w:tcW w:w="1900" w:type="dxa"/>
            <w:shd w:val="clear" w:color="auto" w:fill="F7F5F0"/>
          </w:tcPr>
          <w:p>
            <w:pPr>
              <w:spacing w:after="0"/>
            </w:pPr>
            <w:r>
              <w:rPr>
                <w:rFonts w:ascii="Calibri" w:hAnsi="Calibri"/>
                <w:sz w:val="18"/>
              </w:rPr>
              <w:t xml:space="preserve">₹58.33 lakh</w:t>
            </w:r>
          </w:p>
        </w:tc>
        <w:tc>
          <w:tcPr>
            <w:tcW w:w="2000" w:type="dxa"/>
            <w:shd w:val="clear" w:color="auto" w:fill="E8EEFB"/>
          </w:tcPr>
          <w:p>
            <w:pPr>
              <w:spacing w:after="0"/>
            </w:pPr>
            <w:r>
              <w:rPr>
                <w:rFonts w:ascii="Calibri" w:hAnsi="Calibri"/>
                <w:sz w:val="18"/>
              </w:rPr>
              <w:t xml:space="preserve">₹17.84 lakh</w:t>
            </w:r>
          </w:p>
        </w:tc>
        <w:tc>
          <w:tcPr>
            <w:tcW w:w="2106" w:type="dxa"/>
            <w:shd w:val="clear" w:color="auto" w:fill="F7F5F0"/>
          </w:tcPr>
          <w:p>
            <w:pPr>
              <w:spacing w:after="0"/>
            </w:pPr>
            <w:r>
              <w:rPr>
                <w:rFonts w:ascii="Calibri" w:hAnsi="Calibri"/>
                <w:sz w:val="18"/>
              </w:rPr>
              <w:t xml:space="preserve">₹7.38 lakh</w:t>
            </w:r>
          </w:p>
        </w:tc>
      </w:tr>
    </w:tbl>
    <w:p>
      <w:pPr>
        <w:spacing w:after="140"/>
      </w:pPr>
      <w:r>
        <w:rPr>
          <w:rFonts w:ascii="Calibri" w:hAnsi="Calibri"/>
          <w:sz w:val="22"/>
        </w:rPr>
        <w:t xml:space="preserve"/>
      </w:r>
    </w:p>
    <w:p>
      <w:pPr>
        <w:spacing w:after="180"/>
      </w:pPr>
      <w:r>
        <w:rPr>
          <w:rFonts w:ascii="Calibri" w:hAnsi="Calibri"/>
          <w:i/>
          <w:color w:val="6B7078"/>
          <w:sz w:val="18"/>
        </w:rPr>
        <w:t xml:space="preserve">Management is kept lean: founders unpaid in the pilot year, remote support, no sales team. Hardware and variable costs are our estimates from typical component prices, not quotes. Founders' pay would add to fixed cost.</w:t>
      </w:r>
    </w:p>
    <w:p>
      <w:pPr>
        <w:keepNext/>
        <w:spacing w:after="40"/>
      </w:pPr>
      <w:r>
        <w:drawing>
          <wp:inline distT="0" distB="0" distL="0" distR="0">
            <wp:extent cx="6126480" cy="3104083"/>
            <wp:docPr id="4" name="d" descr="Chart 4. Base case breaks even at about 160 garages. Varanasi added about 17,000 e-rickshaws in 2022–24 alone, roughly 1,700 garages of ten, so breakeven needs under a tenth of that growth, though the market is unsurveyed."/>
            <a:graphic xmlns:a="http://schemas.openxmlformats.org/drawingml/2006/main">
              <a:graphicData uri="http://schemas.openxmlformats.org/drawingml/2006/picture">
                <pic:pic xmlns:pic="http://schemas.openxmlformats.org/drawingml/2006/picture">
                  <pic:nvPicPr>
                    <pic:cNvPr id="4" name="d.png"/>
                    <pic:cNvPicPr/>
                  </pic:nvPicPr>
                  <pic:blipFill>
                    <a:blip r:embed="rIdImg4"/>
                    <a:stretch>
                      <a:fillRect/>
                    </a:stretch>
                  </pic:blipFill>
                  <pic:spPr>
                    <a:xfrm>
                      <a:off x="0" y="0"/>
                      <a:ext cx="6126480" cy="3104083"/>
                    </a:xfrm>
                    <a:prstGeom prst="rect">
                      <a:avLst/>
                    </a:prstGeom>
                  </pic:spPr>
                </pic:pic>
              </a:graphicData>
            </a:graphic>
          </wp:inline>
        </w:drawing>
      </w:r>
    </w:p>
    <w:p>
      <w:pPr>
        <w:spacing w:after="180"/>
      </w:pPr>
      <w:r>
        <w:rPr>
          <w:rFonts w:ascii="Calibri" w:hAnsi="Calibri"/>
          <w:i/>
          <w:color w:val="6B7078"/>
          <w:sz w:val="18"/>
        </w:rPr>
        <w:t xml:space="preserve">Chart 4. Base case breaks even at about 160 garages. Varanasi added about 17,000 e-rickshaws in 2022–24 alone, roughly 1,700 garages of ten, so breakeven needs under a tenth of that growth, though the market is unsurveyed.</w:t>
      </w:r>
    </w:p>
    <w:p>
      <w:pPr>
        <w:spacing w:after="120"/>
      </w:pPr>
      <w:r>
        <w:rPr>
          <w:rFonts w:ascii="Calibri" w:hAnsi="Calibri"/>
          <w:color w:val="4A4F57"/>
          <w:sz w:val="20"/>
        </w:rPr>
        <w:t xml:space="preserve">Market check. Counting only new registrations from 2022 to 2024, Varanasi has at least 17,000 e-rickshaws. If half work from garages of ten, that is about 850 garages in Varanasi, so breakeven (base) is under a fifth of the reachable market and Uttar Pradesh as a whole (860,000 e-rickshaws) leaves room to grow. These counts are not yet verified for Varanasi's total fleet.</w:t>
      </w:r>
    </w:p>
    <w:p>
      <w:pPr>
        <w:pStyle w:val="Heading1"/>
        <w:keepNext/>
        <w:spacing w:after="100"/>
      </w:pPr>
      <w:r>
        <w:rPr>
          <w:rFonts w:ascii="Calibri" w:hAnsi="Calibri"/>
          <w:b/>
          <w:color w:val="171A20"/>
          <w:sz w:val="30"/>
        </w:rPr>
        <w:t xml:space="preserve">7. Sustainability</w:t>
      </w:r>
    </w:p>
    <w:p>
      <w:pPr>
        <w:spacing w:after="70"/>
      </w:pPr>
      <w:r>
        <w:rPr>
          <w:rFonts w:ascii="Calibri" w:hAnsi="Calibri"/>
          <w:sz w:val="21"/>
        </w:rPr>
        <w:t xml:space="preserve">•  Solar: a 3 kW system generates about 4,500 kWh a year, avoiding about 3.1 tonnes of CO2 per garage a year (assumed grid factor 0.7 kg per kWh; verify).</w:t>
      </w:r>
    </w:p>
    <w:p>
      <w:pPr>
        <w:spacing w:after="70"/>
      </w:pPr>
      <w:r>
        <w:rPr>
          <w:rFonts w:ascii="Calibri" w:hAnsi="Calibri"/>
          <w:sz w:val="21"/>
        </w:rPr>
        <w:t xml:space="preserve">•  Lead-acid batteries are replaced every 1 to 2 years. Any gain in life, and routing retired lithium packs to second use, reduces the battery waste that these garages generate. We have not measured the gain.</w:t>
      </w:r>
    </w:p>
    <w:p>
      <w:pPr>
        <w:spacing w:after="70"/>
      </w:pPr>
      <w:r>
        <w:rPr>
          <w:rFonts w:ascii="Calibri" w:hAnsi="Calibri"/>
          <w:sz w:val="21"/>
        </w:rPr>
        <w:t xml:space="preserve">•  Peak shaving avoids upgrading the electricity connection for a charging load.</w:t>
      </w:r>
    </w:p>
    <w:p>
      <w:pPr>
        <w:pStyle w:val="Heading1"/>
        <w:keepNext/>
        <w:spacing w:after="100"/>
      </w:pPr>
      <w:r>
        <w:rPr>
          <w:rFonts w:ascii="Calibri" w:hAnsi="Calibri"/>
          <w:b/>
          <w:color w:val="171A20"/>
          <w:sz w:val="30"/>
        </w:rPr>
        <w:t xml:space="preserve">8. Risks and what would change the answer</w:t>
      </w:r>
    </w:p>
    <w:tbl>
      <w:tblPr>
        <w:tblW w:w="9906" w:type="dxa"/>
        <w:tblBorders>
          <w:top w:val="single" w:sz="4" w:color="D6D2C7"/>
          <w:left w:val="single" w:sz="4" w:color="D6D2C7"/>
          <w:bottom w:val="single" w:sz="4" w:color="D6D2C7"/>
          <w:right w:val="single" w:sz="4" w:color="D6D2C7"/>
          <w:insideH w:val="single" w:sz="4" w:color="D6D2C7"/>
          <w:insideV w:val="single" w:sz="4" w:color="D6D2C7"/>
        </w:tblBorders>
        <w:tblLayout w:type="fixed"/>
        <w:tblCellMar>
          <w:top w:w="55" w:type="dxa"/>
          <w:left w:w="90" w:type="dxa"/>
          <w:bottom w:w="55" w:type="dxa"/>
          <w:right w:w="90" w:type="dxa"/>
        </w:tblCellMar>
      </w:tblPr>
      <w:tblGrid>
        <w:gridCol w:w="2900"/>
        <w:gridCol w:w="3600"/>
        <w:gridCol w:w="3406"/>
      </w:tblGrid>
      <w:tr>
        <w:trPr>
          <w:cantSplit/>
          <w:tblHeader/>
        </w:trPr>
        <w:tc>
          <w:tcPr>
            <w:tcW w:w="2900" w:type="dxa"/>
            <w:shd w:val="clear" w:color="auto" w:fill="E3DFD6"/>
          </w:tcPr>
          <w:p>
            <w:pPr>
              <w:spacing w:after="0"/>
            </w:pPr>
            <w:r>
              <w:rPr>
                <w:rFonts w:ascii="Calibri" w:hAnsi="Calibri"/>
                <w:b/>
                <w:sz w:val="18"/>
              </w:rPr>
              <w:t xml:space="preserve">Risk</w:t>
            </w:r>
          </w:p>
        </w:tc>
        <w:tc>
          <w:tcPr>
            <w:tcW w:w="3600" w:type="dxa"/>
            <w:shd w:val="clear" w:color="auto" w:fill="E3DFD6"/>
          </w:tcPr>
          <w:p>
            <w:pPr>
              <w:spacing w:after="0"/>
            </w:pPr>
            <w:r>
              <w:rPr>
                <w:rFonts w:ascii="Calibri" w:hAnsi="Calibri"/>
                <w:b/>
                <w:sz w:val="18"/>
              </w:rPr>
              <w:t xml:space="preserve">Effect</w:t>
            </w:r>
          </w:p>
        </w:tc>
        <w:tc>
          <w:tcPr>
            <w:tcW w:w="3406" w:type="dxa"/>
            <w:shd w:val="clear" w:color="auto" w:fill="E3DFD6"/>
          </w:tcPr>
          <w:p>
            <w:pPr>
              <w:spacing w:after="0"/>
            </w:pPr>
            <w:r>
              <w:rPr>
                <w:rFonts w:ascii="Calibri" w:hAnsi="Calibri"/>
                <w:b/>
                <w:sz w:val="18"/>
              </w:rPr>
              <w:t xml:space="preserve">How we handle it</w:t>
            </w:r>
          </w:p>
        </w:tc>
      </w:tr>
      <w:tr>
        <w:trPr>
          <w:cantSplit/>
        </w:trPr>
        <w:tc>
          <w:tcPr>
            <w:tcW w:w="2900" w:type="dxa"/>
            <w:shd w:val="clear" w:color="auto" w:fill="FFFFFF"/>
          </w:tcPr>
          <w:p>
            <w:pPr>
              <w:spacing w:after="0"/>
            </w:pPr>
            <w:r>
              <w:rPr>
                <w:rFonts w:ascii="Calibri" w:hAnsi="Calibri"/>
                <w:b/>
                <w:sz w:val="18"/>
              </w:rPr>
              <w:t xml:space="preserve">Connection is domestic but used commercially</w:t>
            </w:r>
          </w:p>
        </w:tc>
        <w:tc>
          <w:tcPr>
            <w:tcW w:w="3600" w:type="dxa"/>
            <w:shd w:val="clear" w:color="auto" w:fill="FFFFFF"/>
          </w:tcPr>
          <w:p>
            <w:pPr>
              <w:spacing w:after="0"/>
            </w:pPr>
            <w:r>
              <w:rPr>
                <w:rFonts w:ascii="Calibri" w:hAnsi="Calibri"/>
                <w:sz w:val="18"/>
              </w:rPr>
              <w:t xml:space="preserve">The DISCOM could reclassify it to non-domestic or EV-charging (₹7.70 to ₹9.87 per kWh), and subsidy eligibility is at risk</w:t>
            </w:r>
          </w:p>
        </w:tc>
        <w:tc>
          <w:tcPr>
            <w:tcW w:w="3406" w:type="dxa"/>
            <w:shd w:val="clear" w:color="auto" w:fill="FFFFFF"/>
          </w:tcPr>
          <w:p>
            <w:pPr>
              <w:spacing w:after="0"/>
            </w:pPr>
            <w:r>
              <w:rPr>
                <w:rFonts w:ascii="Calibri" w:hAnsi="Calibri"/>
                <w:sz w:val="18"/>
              </w:rPr>
              <w:t xml:space="preserve">Check connection type with each owner; use the commercial-case numbers (payback about 5 years) as the floor</w:t>
            </w:r>
          </w:p>
        </w:tc>
      </w:tr>
      <w:tr>
        <w:trPr>
          <w:cantSplit/>
        </w:trPr>
        <w:tc>
          <w:tcPr>
            <w:tcW w:w="2900" w:type="dxa"/>
            <w:shd w:val="clear" w:color="auto" w:fill="F7F5F0"/>
          </w:tcPr>
          <w:p>
            <w:pPr>
              <w:spacing w:after="0"/>
            </w:pPr>
            <w:r>
              <w:rPr>
                <w:rFonts w:ascii="Calibri" w:hAnsi="Calibri"/>
                <w:b/>
                <w:sz w:val="18"/>
              </w:rPr>
              <w:t xml:space="preserve">Net metering banking terms</w:t>
            </w:r>
          </w:p>
        </w:tc>
        <w:tc>
          <w:tcPr>
            <w:tcW w:w="3600" w:type="dxa"/>
            <w:shd w:val="clear" w:color="auto" w:fill="F7F5F0"/>
          </w:tcPr>
          <w:p>
            <w:pPr>
              <w:spacing w:after="0"/>
            </w:pPr>
            <w:r>
              <w:rPr>
                <w:rFonts w:ascii="Calibri" w:hAnsi="Calibri"/>
                <w:sz w:val="18"/>
              </w:rPr>
              <w:t xml:space="preserve">A low surplus buy-back (₹3.00 reported) would cut solar savings by about half</w:t>
            </w:r>
          </w:p>
        </w:tc>
        <w:tc>
          <w:tcPr>
            <w:tcW w:w="3406" w:type="dxa"/>
            <w:shd w:val="clear" w:color="auto" w:fill="F7F5F0"/>
          </w:tcPr>
          <w:p>
            <w:pPr>
              <w:spacing w:after="0"/>
            </w:pPr>
            <w:r>
              <w:rPr>
                <w:rFonts w:ascii="Calibri" w:hAnsi="Calibri"/>
                <w:sz w:val="18"/>
              </w:rPr>
              <w:t xml:space="preserve">Confirm banking with UPPCL before quoting; size solar to the night load</w:t>
            </w:r>
          </w:p>
        </w:tc>
      </w:tr>
      <w:tr>
        <w:trPr>
          <w:cantSplit/>
        </w:trPr>
        <w:tc>
          <w:tcPr>
            <w:tcW w:w="2900" w:type="dxa"/>
            <w:shd w:val="clear" w:color="auto" w:fill="FFFFFF"/>
          </w:tcPr>
          <w:p>
            <w:pPr>
              <w:spacing w:after="0"/>
            </w:pPr>
            <w:r>
              <w:rPr>
                <w:rFonts w:ascii="Calibri" w:hAnsi="Calibri"/>
                <w:b/>
                <w:sz w:val="18"/>
              </w:rPr>
              <w:t xml:space="preserve">Battery-life benefit not proven</w:t>
            </w:r>
          </w:p>
        </w:tc>
        <w:tc>
          <w:tcPr>
            <w:tcW w:w="3600" w:type="dxa"/>
            <w:shd w:val="clear" w:color="auto" w:fill="FFFFFF"/>
          </w:tcPr>
          <w:p>
            <w:pPr>
              <w:spacing w:after="0"/>
            </w:pPr>
            <w:r>
              <w:rPr>
                <w:rFonts w:ascii="Calibri" w:hAnsi="Calibri"/>
                <w:sz w:val="18"/>
              </w:rPr>
              <w:t xml:space="preserve">Controller value falls to about ₹7,000 a year; owner nets about zero</w:t>
            </w:r>
          </w:p>
        </w:tc>
        <w:tc>
          <w:tcPr>
            <w:tcW w:w="3406" w:type="dxa"/>
            <w:shd w:val="clear" w:color="auto" w:fill="FFFFFF"/>
          </w:tcPr>
          <w:p>
            <w:pPr>
              <w:spacing w:after="0"/>
            </w:pPr>
            <w:r>
              <w:rPr>
                <w:rFonts w:ascii="Calibri" w:hAnsi="Calibri"/>
                <w:sz w:val="18"/>
              </w:rPr>
              <w:t xml:space="preserve">Pilot with metered batteries and range logs; price so the owner pays only if it saves</w:t>
            </w:r>
          </w:p>
        </w:tc>
      </w:tr>
      <w:tr>
        <w:trPr>
          <w:cantSplit/>
        </w:trPr>
        <w:tc>
          <w:tcPr>
            <w:tcW w:w="2900" w:type="dxa"/>
            <w:shd w:val="clear" w:color="auto" w:fill="F7F5F0"/>
          </w:tcPr>
          <w:p>
            <w:pPr>
              <w:spacing w:after="0"/>
            </w:pPr>
            <w:r>
              <w:rPr>
                <w:rFonts w:ascii="Calibri" w:hAnsi="Calibri"/>
                <w:b/>
                <w:sz w:val="18"/>
              </w:rPr>
              <w:t xml:space="preserve">Subsidy rules change or delay</w:t>
            </w:r>
          </w:p>
        </w:tc>
        <w:tc>
          <w:tcPr>
            <w:tcW w:w="3600" w:type="dxa"/>
            <w:shd w:val="clear" w:color="auto" w:fill="F7F5F0"/>
          </w:tcPr>
          <w:p>
            <w:pPr>
              <w:spacing w:after="0"/>
            </w:pPr>
            <w:r>
              <w:rPr>
                <w:rFonts w:ascii="Calibri" w:hAnsi="Calibri"/>
                <w:sz w:val="18"/>
              </w:rPr>
              <w:t xml:space="preserve">Payback lengthens by about 2 years without the UP top-up</w:t>
            </w:r>
          </w:p>
        </w:tc>
        <w:tc>
          <w:tcPr>
            <w:tcW w:w="3406" w:type="dxa"/>
            <w:shd w:val="clear" w:color="auto" w:fill="F7F5F0"/>
          </w:tcPr>
          <w:p>
            <w:pPr>
              <w:spacing w:after="0"/>
            </w:pPr>
            <w:r>
              <w:rPr>
                <w:rFonts w:ascii="Calibri" w:hAnsi="Calibri"/>
                <w:sz w:val="18"/>
              </w:rPr>
              <w:t xml:space="preserve">Quote conservative (central only) numbers</w:t>
            </w:r>
          </w:p>
        </w:tc>
      </w:tr>
      <w:tr>
        <w:trPr>
          <w:cantSplit/>
        </w:trPr>
        <w:tc>
          <w:tcPr>
            <w:tcW w:w="2900" w:type="dxa"/>
            <w:shd w:val="clear" w:color="auto" w:fill="FFFFFF"/>
          </w:tcPr>
          <w:p>
            <w:pPr>
              <w:spacing w:after="0"/>
            </w:pPr>
            <w:r>
              <w:rPr>
                <w:rFonts w:ascii="Calibri" w:hAnsi="Calibri"/>
                <w:b/>
                <w:sz w:val="18"/>
              </w:rPr>
              <w:t xml:space="preserve">Field data is small</w:t>
            </w:r>
          </w:p>
        </w:tc>
        <w:tc>
          <w:tcPr>
            <w:tcW w:w="3600" w:type="dxa"/>
            <w:shd w:val="clear" w:color="auto" w:fill="FFFFFF"/>
          </w:tcPr>
          <w:p>
            <w:pPr>
              <w:spacing w:after="0"/>
            </w:pPr>
            <w:r>
              <w:rPr>
                <w:rFonts w:ascii="Calibri" w:hAnsi="Calibri"/>
                <w:sz w:val="18"/>
              </w:rPr>
              <w:t xml:space="preserve">Nine drivers, one visit, approximate answers</w:t>
            </w:r>
          </w:p>
        </w:tc>
        <w:tc>
          <w:tcPr>
            <w:tcW w:w="3406" w:type="dxa"/>
            <w:shd w:val="clear" w:color="auto" w:fill="FFFFFF"/>
          </w:tcPr>
          <w:p>
            <w:pPr>
              <w:spacing w:after="0"/>
            </w:pPr>
            <w:r>
              <w:rPr>
                <w:rFonts w:ascii="Calibri" w:hAnsi="Calibri"/>
                <w:sz w:val="18"/>
              </w:rPr>
              <w:t xml:space="preserve">Measure one garage for a week and re-run this model</w:t>
            </w:r>
          </w:p>
        </w:tc>
      </w:tr>
    </w:tbl>
    <w:p>
      <w:pPr>
        <w:spacing w:after="140"/>
      </w:pPr>
      <w:r>
        <w:rPr>
          <w:rFonts w:ascii="Calibri" w:hAnsi="Calibri"/>
          <w:sz w:val="22"/>
        </w:rPr>
        <w:t xml:space="preserve"/>
      </w:r>
    </w:p>
    <w:p>
      <w:pPr>
        <w:pStyle w:val="Heading1"/>
        <w:keepNext/>
        <w:spacing w:after="100"/>
      </w:pPr>
      <w:r>
        <w:rPr>
          <w:rFonts w:ascii="Calibri" w:hAnsi="Calibri"/>
          <w:b/>
          <w:color w:val="171A20"/>
          <w:sz w:val="30"/>
        </w:rPr>
        <w:t xml:space="preserve">9. The most optimised idea</w:t>
      </w:r>
    </w:p>
    <w:p>
      <w:pPr>
        <w:spacing w:after="70"/>
      </w:pPr>
      <w:r>
        <w:rPr>
          <w:rFonts w:ascii="Calibri" w:hAnsi="Calibri"/>
          <w:sz w:val="21"/>
        </w:rPr>
        <w:t xml:space="preserve">•  Sell one bundle, not three products: a small controller (load limit plus charge scheduling) plus a PM Surya Ghar 3 kW system with net metering. The controller makes the system safe on a small connection; solar produces most of the savings.</w:t>
      </w:r>
    </w:p>
    <w:p>
      <w:pPr>
        <w:spacing w:after="70"/>
      </w:pPr>
      <w:r>
        <w:rPr>
          <w:rFonts w:ascii="Calibri" w:hAnsi="Calibri"/>
          <w:sz w:val="21"/>
        </w:rPr>
        <w:t xml:space="preserve">•  Do the solar through local installers who already file the subsidy, and take a partner commission. This avoids our carrying installation staff and inventory.</w:t>
      </w:r>
    </w:p>
    <w:p>
      <w:pPr>
        <w:spacing w:after="70"/>
      </w:pPr>
      <w:r>
        <w:rPr>
          <w:rFonts w:ascii="Calibri" w:hAnsi="Calibri"/>
          <w:sz w:val="21"/>
        </w:rPr>
        <w:t xml:space="preserve">•  Reach owners through e-rickshaw dealers and manufacturers. Our notes show the vehicle company already helps owners set up charging points at home, which is a ready channel.</w:t>
      </w:r>
    </w:p>
    <w:p>
      <w:pPr>
        <w:spacing w:after="70"/>
      </w:pPr>
      <w:r>
        <w:rPr>
          <w:rFonts w:ascii="Calibri" w:hAnsi="Calibri"/>
          <w:sz w:val="21"/>
        </w:rPr>
        <w:t xml:space="preserve">•  Price the controller as a subscription with hardware included and a 'pay only if it saves' guarantee in the pilot. This removes the owner's risk while the battery-life benefit is measured.</w:t>
      </w:r>
    </w:p>
    <w:p>
      <w:pPr>
        <w:spacing w:after="70"/>
      </w:pPr>
      <w:r>
        <w:rPr>
          <w:rFonts w:ascii="Calibri" w:hAnsi="Calibri"/>
          <w:sz w:val="21"/>
        </w:rPr>
        <w:t xml:space="preserve">•  Offer battery health tracking (range per full charge) and a discounted lithium upgrade or second-use pack later. Batteries are the owner's largest controllable cost (₹24,000 a vehicle a year).</w:t>
      </w:r>
    </w:p>
    <w:p>
      <w:pPr>
        <w:spacing w:after="70"/>
      </w:pPr>
      <w:r>
        <w:rPr>
          <w:rFonts w:ascii="Calibri" w:hAnsi="Calibri"/>
          <w:sz w:val="21"/>
        </w:rPr>
        <w:t xml:space="preserve">•  Keep second-life storage as an option for garages that cannot use net metering or are limited by their connection.</w:t>
      </w:r>
    </w:p>
    <w:p>
      <w:pPr>
        <w:spacing w:after="70"/>
      </w:pPr>
      <w:r>
        <w:rPr>
          <w:rFonts w:ascii="Calibri" w:hAnsi="Calibri"/>
          <w:sz w:val="21"/>
        </w:rPr>
        <w:t xml:space="preserve">•  Prove it first: one garage, one week of metered data, then update the model. That one pilot answers the three biggest unknowns.</w:t>
      </w:r>
    </w:p>
    <w:p>
      <w:pPr>
        <w:pStyle w:val="Heading1"/>
        <w:keepNext/>
        <w:spacing w:after="100"/>
      </w:pPr>
      <w:r>
        <w:rPr>
          <w:rFonts w:ascii="Calibri" w:hAnsi="Calibri"/>
          <w:b/>
          <w:color w:val="171A20"/>
          <w:sz w:val="30"/>
        </w:rPr>
        <w:t xml:space="preserve">Sources</w:t>
      </w:r>
    </w:p>
    <w:p>
      <w:pPr>
        <w:spacing w:after="50"/>
      </w:pPr>
      <w:r>
        <w:rPr>
          <w:rFonts w:ascii="Calibri" w:hAnsi="Calibri"/>
          <w:color w:val="4A4F57"/>
          <w:sz w:val="18"/>
        </w:rPr>
        <w:t xml:space="preserve">PM E-DRIVE e-rickshaw extension and rates: electrive.com/2026/03/30/india-extends-subsidies-for-electric-two-wheelers-and-rickshaws ; autocarpro.in (Anish Shah on subsidies) ; inc42.com/?p=553418</w:t>
      </w:r>
    </w:p>
    <w:p>
      <w:pPr>
        <w:spacing w:after="50"/>
      </w:pPr>
      <w:r>
        <w:rPr>
          <w:rFonts w:ascii="Calibri" w:hAnsi="Calibri"/>
          <w:color w:val="4A4F57"/>
          <w:sz w:val="18"/>
        </w:rPr>
        <w:t xml:space="preserve">PM E-DRIVE public charging guidelines: autocarpro.in/news/government-releases-guidelines-for-ev-public-charging-infra-under-pm-e-drive-128940 ; mercomindia.com/government-notifies-guidelines-for-charging-stations-under-pm-e-drive</w:t>
      </w:r>
    </w:p>
    <w:p>
      <w:pPr>
        <w:spacing w:after="50"/>
      </w:pPr>
      <w:r>
        <w:rPr>
          <w:rFonts w:ascii="Calibri" w:hAnsi="Calibri"/>
          <w:color w:val="4A4F57"/>
          <w:sz w:val="18"/>
        </w:rPr>
        <w:t xml:space="preserve">PM Surya Ghar subsidy slabs: businesstoday.in (28 Jul 2026) ; zbotic.in ; quickestimate.co/blog/pm-surya-ghar-subsidy-slabs</w:t>
      </w:r>
    </w:p>
    <w:p>
      <w:pPr>
        <w:spacing w:after="50"/>
      </w:pPr>
      <w:r>
        <w:rPr>
          <w:rFonts w:ascii="Calibri" w:hAnsi="Calibri"/>
          <w:color w:val="4A4F57"/>
          <w:sz w:val="18"/>
        </w:rPr>
        <w:t xml:space="preserve">UP top-up and system prices: solarsquare.in/blog/3-kw-solar-panel-price-in-uttar-pradesh-with-subsidy ; bridgewaypower.in/blog/solar-subsidy-up-2026-guide ; iamrenew.com (UP top-up report)</w:t>
      </w:r>
    </w:p>
    <w:p>
      <w:pPr>
        <w:spacing w:after="50"/>
      </w:pPr>
      <w:r>
        <w:rPr>
          <w:rFonts w:ascii="Calibri" w:hAnsi="Calibri"/>
          <w:color w:val="4A4F57"/>
          <w:sz w:val="18"/>
        </w:rPr>
        <w:t xml:space="preserve">UP tariffs FY 2026-27: powerpeakdigest.com/uperc-retains-fy27-power-tariffs-raises-subsidy-and-expands-ev-benefits ; desiutility.com/electricity/tariffs/uppcl (unverified slab table)</w:t>
      </w:r>
    </w:p>
    <w:p>
      <w:pPr>
        <w:spacing w:after="50"/>
      </w:pPr>
      <w:r>
        <w:rPr>
          <w:rFonts w:ascii="Calibri" w:hAnsi="Calibri"/>
          <w:color w:val="4A4F57"/>
          <w:sz w:val="18"/>
        </w:rPr>
        <w:t xml:space="preserve">UP EV policy 2022: invest.up.gov.in/uttar-pradesh-electric-vehicle-manufacturing-policy-2022 ; evreporter.com ; bolt.earth/blog/uttar-pradesh-ev-policy</w:t>
      </w:r>
    </w:p>
    <w:p>
      <w:pPr>
        <w:spacing w:after="50"/>
      </w:pPr>
      <w:r>
        <w:rPr>
          <w:rFonts w:ascii="Calibri" w:hAnsi="Calibri"/>
          <w:color w:val="4A4F57"/>
          <w:sz w:val="18"/>
        </w:rPr>
        <w:t xml:space="preserve">E-rickshaw numbers: Rajya Sabha reply PQ 267 of 12 Mar 2025 (rsdebate.nic.in) ; downtoearth.org.in (Varanasi mobility) ; jmkresearch.com</w:t>
      </w:r>
    </w:p>
    <w:p>
      <w:pPr>
        <w:spacing w:after="50"/>
      </w:pPr>
      <w:r>
        <w:rPr>
          <w:rFonts w:ascii="Calibri" w:hAnsi="Calibri"/>
          <w:color w:val="4A4F57"/>
          <w:sz w:val="18"/>
        </w:rPr>
        <w:t xml:space="preserve">Solar yield: profilesolar.com/locations/India/Varanasi ; UNI report on Varanasi rooftop solar ; surgepv.com (UP net metering guide)</w:t>
      </w:r>
    </w:p>
    <w:p>
      <w:pPr>
        <w:spacing w:after="50"/>
      </w:pPr>
      <w:r>
        <w:rPr>
          <w:rFonts w:ascii="Calibri" w:hAnsi="Calibri"/>
          <w:color w:val="4A4F57"/>
          <w:sz w:val="18"/>
        </w:rPr>
        <w:t xml:space="preserve">Batteries: quickestimate.co/blog/solar-battery-price-india ; wri-india.org (second-life batteries) ; trid.trb.org/View/2721776 (Delhi e-rickshaw economics)</w:t>
      </w:r>
    </w:p>
    <w:p>
      <w:pPr>
        <w:spacing w:after="180"/>
      </w:pPr>
      <w:r>
        <w:rPr>
          <w:rFonts w:ascii="Calibri" w:hAnsi="Calibri"/>
          <w:i/>
          <w:color w:val="6B7078"/>
          <w:sz w:val="18"/>
        </w:rPr>
        <w:t xml:space="preserve">Several figures come from installer blogs or secondary reports and some sources conflict. Verify subsidy amounts on pmsuryaghar.gov.in, the UPNEDA notices and the UPERC order before quoting them to an owner.</w:t>
      </w:r>
    </w:p>
    <w:sectPr>
      <w:footerReference w:type="default" r:id="rIdFoot"/>
      <w:pgSz w:w="11906" w:h="16838"/>
      <w:pgMar w:top="1000" w:right="1000" w:bottom="1000" w:left="1000" w:header="500" w:footer="500"/>
    </w:sectPr>
  </w:body>
</w:document>
</file>

<file path=word/footer1.xml><?xml version="1.0" encoding="utf-8"?>
<w:ftr xmlns:w="http://schemas.openxmlformats.org/wordprocessingml/2006/main">
  <w:p>
    <w:pPr>
      <w:jc w:val="right"/>
    </w:pPr>
    <w:r>
      <w:rPr>
        <w:color w:val="6B7078"/>
        <w:sz w:val="18"/>
      </w:rPr>
      <w:t xml:space="preserve">ChargeFlow · Unit economics and feasibility · page </w:t>
    </w:r>
    <w:r>
      <w:rPr>
        <w:sz w:val="18"/>
      </w:rPr>
      <w:fldChar w:fldCharType="begin"/>
    </w:r>
    <w:r>
      <w:instrText xml:space="preserve"> PAGE </w:instrText>
    </w:r>
    <w:r>
      <w:fldChar w:fldCharType="end"/>
    </w:r>
  </w:p>
</w:ftr>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style>
  <w:style w:type="paragraph" w:styleId="Heading1">
    <w:name w:val="heading 1"/>
    <w:basedOn w:val="Normal"/>
    <w:pPr>
      <w:keepNext/>
      <w:spacing w:before="320"/>
      <w:outlineLvl w:val="0"/>
    </w:pPr>
  </w:style>
</w:styles>
</file>

<file path=word/_rels/document.xml.rels><?xml version="1.0" encoding="UTF-8" standalone="yes"?><Relationships xmlns="http://schemas.openxmlformats.org/package/2006/relationships"><Relationship Id="rIdSt" Type="http://schemas.openxmlformats.org/officeDocument/2006/relationships/styles" Target="styles.xml"/><Relationship Id="rIdFoot" Type="http://schemas.openxmlformats.org/officeDocument/2006/relationships/footer" Target="footer1.xml"/><Relationship Id="rIdImg1" Type="http://schemas.openxmlformats.org/officeDocument/2006/relationships/image" Target="media/a.png"/><Relationship Id="rIdImg2" Type="http://schemas.openxmlformats.org/officeDocument/2006/relationships/image" Target="media/b.png"/><Relationship Id="rIdImg3" Type="http://schemas.openxmlformats.org/officeDocument/2006/relationships/image" Target="media/c.png"/><Relationship Id="rIdImg4" Type="http://schemas.openxmlformats.org/officeDocument/2006/relationships/image" Target="media/d.png"/></Relationships>
</file>