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0"/>
      </w:pPr>
      <w:r>
        <w:rPr>
          <w:rFonts w:ascii="Calibri" w:hAnsi="Calibri"/>
          <w:b/>
          <w:color w:val="2457D6"/>
          <w:sz w:val="22"/>
        </w:rPr>
        <w:t xml:space="preserve">ChargeFlow</w:t>
      </w:r>
    </w:p>
    <w:p>
      <w:pPr>
        <w:spacing w:after="60"/>
      </w:pPr>
      <w:r>
        <w:rPr>
          <w:rFonts w:ascii="Calibri" w:hAnsi="Calibri"/>
          <w:b/>
          <w:color w:val="171A20"/>
          <w:sz w:val="40"/>
        </w:rPr>
        <w:t xml:space="preserve">Projected economics with ChargeFlow: owner and company</w:t>
      </w:r>
    </w:p>
    <w:p>
      <w:pPr>
        <w:spacing w:after="200"/>
      </w:pPr>
      <w:r>
        <w:rPr>
          <w:rFonts w:ascii="Calibri" w:hAnsi="Calibri"/>
          <w:color w:val="4A4F57"/>
          <w:sz w:val="22"/>
        </w:rPr>
        <w:t xml:space="preserve">Expected results once ChargeFlow is running, projected from our field data, published prices and the model assumptions listed in Table 1. Every input can be changed and the model re-run.</w:t>
      </w:r>
    </w:p>
    <w:tbl>
      <w:tblPr>
        <w:tblW w:w="9906" w:type="dxa"/>
        <w:tblLayout w:type="fixed"/>
        <w:tblCellMar>
          <w:top w:w="120" w:type="dxa"/>
          <w:left w:w="180" w:type="dxa"/>
          <w:bottom w:w="100" w:type="dxa"/>
          <w:right w:w="180" w:type="dxa"/>
        </w:tblCellMar>
      </w:tblPr>
      <w:tblGrid>
        <w:gridCol w:w="9906"/>
      </w:tblGrid>
      <w:tr>
        <w:tc>
          <w:tcPr>
            <w:tcW w:w="9906" w:type="dxa"/>
            <w:shd w:val="clear" w:color="auto" w:fill="FDF1D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457D6"/>
                <w:sz w:val="24"/>
              </w:rPr>
              <w:t xml:space="preserve">What this projection rests on</w:t>
            </w:r>
          </w:p>
          <w:p>
            <w:pPr>
              <w:spacing w:after="50"/>
            </w:pPr>
            <w:r>
              <w:rPr>
                <w:rFonts w:ascii="Calibri" w:hAnsi="Calibri"/>
                <w:sz w:val="21"/>
              </w:rPr>
              <w:t xml:space="preserve">•  Unchanged: every driver figure from our visit, the ₹400 rent, the battery costs we were told, the published tariffs and subsidy rules.</w:t>
            </w:r>
          </w:p>
          <w:p>
            <w:pPr>
              <w:spacing w:after="50"/>
            </w:pPr>
            <w:r>
              <w:rPr>
                <w:rFonts w:ascii="Calibri" w:hAnsi="Calibri"/>
                <w:sz w:val="21"/>
              </w:rPr>
              <w:t xml:space="preserve">•  Changed: the second-life pack price, solar yield and tariff, battery-life gain, add-on services and sales rates. Each change is listed in Table 1 with what the pilot must show.</w:t>
            </w:r>
          </w:p>
          <w:p>
            <w:pPr>
              <w:spacing w:after="50"/>
            </w:pPr>
            <w:r>
              <w:rPr>
                <w:rFonts w:ascii="Calibri" w:hAnsi="Calibri"/>
                <w:sz w:val="21"/>
              </w:rPr>
              <w:t xml:space="preserve">•  The conservative estimate (first report) sits beside it so the range is visible. The 4-week pilot in section 6 replaces assumptions with measurements.</w:t>
            </w:r>
          </w:p>
        </w:tc>
      </w:tr>
    </w:tbl>
    <w:p>
      <w:pPr>
        <w:spacing w:after="140"/>
      </w:pPr>
      <w:r>
        <w:rPr>
          <w:rFonts w:ascii="Calibri" w:hAnsi="Calibri"/>
          <w:sz w:val="22"/>
        </w:rPr>
        <w:t xml:space="preserve"/>
      </w:r>
    </w:p>
    <w:tbl>
      <w:tblPr>
        <w:tblW w:w="9906" w:type="dxa"/>
        <w:tblLayout w:type="fixed"/>
        <w:tblCellMar>
          <w:top w:w="120" w:type="dxa"/>
          <w:left w:w="180" w:type="dxa"/>
          <w:bottom w:w="100" w:type="dxa"/>
          <w:right w:w="180" w:type="dxa"/>
        </w:tblCellMar>
      </w:tblPr>
      <w:tblGrid>
        <w:gridCol w:w="9906"/>
      </w:tblGrid>
      <w:tr>
        <w:tc>
          <w:tcPr>
            <w:tcW w:w="9906" w:type="dxa"/>
            <w:shd w:val="clear" w:color="auto" w:fill="E8EEFB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457D6"/>
                <w:sz w:val="24"/>
              </w:rPr>
              <w:t xml:space="preserve">Projected results with ChargeFlow</w:t>
            </w:r>
          </w:p>
          <w:p>
            <w:pPr>
              <w:spacing w:after="50"/>
            </w:pPr>
            <w:r>
              <w:rPr>
                <w:rFonts w:ascii="Calibri" w:hAnsi="Calibri"/>
                <w:sz w:val="21"/>
              </w:rPr>
              <w:t xml:space="preserve">•  Owner vehicle margin rises from ₹76,058 to ₹91,780 a year (67% of rent); vehicle payback 1.7 years.</w:t>
            </w:r>
          </w:p>
          <w:p>
            <w:pPr>
              <w:spacing w:after="50"/>
            </w:pPr>
            <w:r>
              <w:rPr>
                <w:rFonts w:ascii="Calibri" w:hAnsi="Calibri"/>
                <w:sz w:val="21"/>
              </w:rPr>
              <w:t xml:space="preserve">•  3 kW solar with banking pays back in 2.6 years and earns ₹11.69 lakh over 25 years. If banking is not allowed, second-life storage trims payback from 7.4 to 6.9 years and lifts 25-year cash from ₹2.02 lakh to ₹6.40 lakh.</w:t>
            </w:r>
          </w:p>
          <w:p>
            <w:pPr>
              <w:spacing w:after="50"/>
            </w:pPr>
            <w:r>
              <w:rPr>
                <w:rFonts w:ascii="Calibri" w:hAnsi="Calibri"/>
                <w:sz w:val="21"/>
              </w:rPr>
              <w:t xml:space="preserve">•  At ₹5,000 per kWh a 15 kWh second-life pack plus inverter costs ₹1.15 lakh. Storage pays back in 7.1 years on its own at a ₹7.70 night tariff (extra over selling the surplus).</w:t>
            </w:r>
          </w:p>
          <w:p>
            <w:pPr>
              <w:spacing w:after="50"/>
            </w:pPr>
            <w:r>
              <w:rPr>
                <w:rFonts w:ascii="Calibri" w:hAnsi="Calibri"/>
                <w:sz w:val="21"/>
              </w:rPr>
              <w:t xml:space="preserve">•  Company breakeven falls from 162 to 65 garages; upfront cash ₹5.17 lakh; hardware and sales cost repaid in 6 months.</w:t>
            </w:r>
          </w:p>
        </w:tc>
      </w:tr>
    </w:tbl>
    <w:p>
      <w:pPr>
        <w:spacing w:after="140"/>
      </w:pPr>
      <w:r>
        <w:rPr>
          <w:rFonts w:ascii="Calibri" w:hAnsi="Calibri"/>
          <w:sz w:val="22"/>
        </w:rPr>
        <w:t xml:space="preserve"/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0"/>
        </w:rPr>
        <w:t xml:space="preserve">1. What changed, and what the pilot must show</w:t>
      </w:r>
    </w:p>
    <w:tbl>
      <w:tblPr>
        <w:tblW w:w="9906" w:type="dxa"/>
        <w:tblBorders>
          <w:top w:val="single" w:sz="4" w:color="D6D2C7"/>
          <w:left w:val="single" w:sz="4" w:color="D6D2C7"/>
          <w:bottom w:val="single" w:sz="4" w:color="D6D2C7"/>
          <w:right w:val="single" w:sz="4" w:color="D6D2C7"/>
          <w:insideH w:val="single" w:sz="4" w:color="D6D2C7"/>
          <w:insideV w:val="single" w:sz="4" w:color="D6D2C7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2100"/>
        <w:gridCol w:w="2000"/>
        <w:gridCol w:w="2200"/>
        <w:gridCol w:w="3606"/>
      </w:tblGrid>
      <w:tr>
        <w:trPr>
          <w:cantSplit/>
          <w:tblHeader/>
        </w:trPr>
        <w:tc>
          <w:tcPr>
            <w:tcW w:w="21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Input</w:t>
            </w:r>
          </w:p>
        </w:tc>
        <w:tc>
          <w:tcPr>
            <w:tcW w:w="20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Conservative estimate</w:t>
            </w:r>
          </w:p>
        </w:tc>
        <w:tc>
          <w:tcPr>
            <w:tcW w:w="22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Projected</w:t>
            </w:r>
          </w:p>
        </w:tc>
        <w:tc>
          <w:tcPr>
            <w:tcW w:w="3606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Why it is plausible / what must be proven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Second-life pack price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₹10,000 per kWh (our assumption)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₹5,000 per kWh</w:t>
            </w:r>
          </w:p>
        </w:tc>
        <w:tc>
          <w:tcPr>
            <w:tcW w:w="36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No India price found. Needs a supplier quote. Chart 3 shows how payback moves with price.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Solar yield, Varanasi</w:t>
            </w:r>
          </w:p>
        </w:tc>
        <w:tc>
          <w:tcPr>
            <w:tcW w:w="20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1,500 kWh per kW a year</w:t>
            </w:r>
          </w:p>
        </w:tc>
        <w:tc>
          <w:tcPr>
            <w:tcW w:w="22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1,800</w:t>
            </w:r>
          </w:p>
        </w:tc>
        <w:tc>
          <w:tcPr>
            <w:tcW w:w="36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Top of the published range (NASA POWER model, UNI report). Needs a good roof.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Tariff offset by solar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₹6.50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₹7.70 with 3% yearly rise</w:t>
            </w:r>
          </w:p>
        </w:tc>
        <w:tc>
          <w:tcPr>
            <w:tcW w:w="36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UP LMV-11 charging tariff; installers assume 3% a year. Confirm the connection class.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Net cost of 3 kW solar</w:t>
            </w:r>
          </w:p>
        </w:tc>
        <w:tc>
          <w:tcPr>
            <w:tcW w:w="20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₹1.20 lakh</w:t>
            </w:r>
          </w:p>
        </w:tc>
        <w:tc>
          <w:tcPr>
            <w:tcW w:w="22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₹1.08 lakh</w:t>
            </w:r>
          </w:p>
        </w:tc>
        <w:tc>
          <w:tcPr>
            <w:tcW w:w="36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Central ₹78,000 plus UP top-up ₹30,000, as in the lowest Varanasi quote.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Days rented / kWh per vehicle / tariff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330 / 6.5 / ₹6.50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340 / 5.5 / ₹6.00</w:t>
            </w:r>
          </w:p>
        </w:tc>
        <w:tc>
          <w:tcPr>
            <w:tcW w:w="36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Within field range (5–8 units reported). Needs a meter reading.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Battery cost per vehicle per year</w:t>
            </w:r>
          </w:p>
        </w:tc>
        <w:tc>
          <w:tcPr>
            <w:tcW w:w="20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₹24,000</w:t>
            </w:r>
          </w:p>
        </w:tc>
        <w:tc>
          <w:tcPr>
            <w:tcW w:w="22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₹18,000</w:t>
            </w:r>
          </w:p>
        </w:tc>
        <w:tc>
          <w:tcPr>
            <w:tcW w:w="36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Within field range (₹46–137 a day). Longer life or cheaper refurbished lithium.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Battery-life gain from smart charging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5%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10%</w:t>
            </w:r>
          </w:p>
        </w:tc>
        <w:tc>
          <w:tcPr>
            <w:tcW w:w="36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UNPROVEN. The pilot must log battery range and replacements.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Subscription; add-on</w:t>
            </w:r>
          </w:p>
        </w:tc>
        <w:tc>
          <w:tcPr>
            <w:tcW w:w="20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₹800 a month; none</w:t>
            </w:r>
          </w:p>
        </w:tc>
        <w:tc>
          <w:tcPr>
            <w:tcW w:w="22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₹1,000 a month; battery-health add-on ₹500 (half of garages)</w:t>
            </w:r>
          </w:p>
        </w:tc>
        <w:tc>
          <w:tcPr>
            <w:tcW w:w="36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Owner value in Table 4 must exceed the price.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Solar partner commission; attach rate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₹8,000; 30%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₹10,000; 40%</w:t>
            </w:r>
          </w:p>
        </w:tc>
        <w:tc>
          <w:tcPr>
            <w:tcW w:w="36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Needs an installer agreement.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Storage sale; attach rate</w:t>
            </w:r>
          </w:p>
        </w:tc>
        <w:tc>
          <w:tcPr>
            <w:tcW w:w="20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none</w:t>
            </w:r>
          </w:p>
        </w:tc>
        <w:tc>
          <w:tcPr>
            <w:tcW w:w="22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₹19,838 margin; 25%</w:t>
            </w:r>
          </w:p>
        </w:tc>
        <w:tc>
          <w:tcPr>
            <w:tcW w:w="36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15% margin on the pack, inverter and fitting. Needs supplier terms.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 xml:space="preserve">Fixed cost; hardware; variable</w:t>
            </w:r>
          </w:p>
        </w:tc>
        <w:tc>
          <w:tcPr>
            <w:tcW w:w="20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₹12 lakh; ₹8,000; ₹3,000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₹10 lakh; ₹6,000; ₹2,500</w:t>
            </w:r>
          </w:p>
        </w:tc>
        <w:tc>
          <w:tcPr>
            <w:tcW w:w="36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 xml:space="preserve">Lean team and a single-board controller. Needs a prototype bill of materials.</w:t>
            </w:r>
          </w:p>
        </w:tc>
      </w:tr>
    </w:tbl>
    <w:p>
      <w:pPr>
        <w:spacing w:after="140"/>
      </w:pPr>
      <w:r>
        <w:rPr>
          <w:rFonts w:ascii="Calibri" w:hAnsi="Calibri"/>
          <w:sz w:val="22"/>
        </w:rPr>
        <w:t xml:space="preserve"/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0"/>
        </w:rPr>
        <w:t xml:space="preserve">2. Garage owner: one vehicle</w:t>
      </w:r>
    </w:p>
    <w:tbl>
      <w:tblPr>
        <w:tblW w:w="9906" w:type="dxa"/>
        <w:tblBorders>
          <w:top w:val="single" w:sz="4" w:color="D6D2C7"/>
          <w:left w:val="single" w:sz="4" w:color="D6D2C7"/>
          <w:bottom w:val="single" w:sz="4" w:color="D6D2C7"/>
          <w:right w:val="single" w:sz="4" w:color="D6D2C7"/>
          <w:insideH w:val="single" w:sz="4" w:color="D6D2C7"/>
          <w:insideV w:val="single" w:sz="4" w:color="D6D2C7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4200"/>
        <w:gridCol w:w="2900"/>
        <w:gridCol w:w="2806"/>
      </w:tblGrid>
      <w:tr>
        <w:trPr>
          <w:cantSplit/>
          <w:tblHeader/>
        </w:trPr>
        <w:tc>
          <w:tcPr>
            <w:tcW w:w="42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₹ per vehicle per year</w:t>
            </w:r>
          </w:p>
        </w:tc>
        <w:tc>
          <w:tcPr>
            <w:tcW w:w="29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Conservative estimate</w:t>
            </w:r>
          </w:p>
        </w:tc>
        <w:tc>
          <w:tcPr>
            <w:tcW w:w="2806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Projected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Rent income</w:t>
            </w:r>
          </w:p>
        </w:tc>
        <w:tc>
          <w:tcPr>
            <w:tcW w:w="2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₹132,000</w:t>
            </w:r>
          </w:p>
        </w:tc>
        <w:tc>
          <w:tcPr>
            <w:tcW w:w="28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₹136,000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Electricity</w:t>
            </w:r>
          </w:p>
        </w:tc>
        <w:tc>
          <w:tcPr>
            <w:tcW w:w="2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₹13,942</w:t>
            </w:r>
          </w:p>
        </w:tc>
        <w:tc>
          <w:tcPr>
            <w:tcW w:w="28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₹11,220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Battery replacement</w:t>
            </w:r>
          </w:p>
        </w:tc>
        <w:tc>
          <w:tcPr>
            <w:tcW w:w="2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₹24,000</w:t>
            </w:r>
          </w:p>
        </w:tc>
        <w:tc>
          <w:tcPr>
            <w:tcW w:w="28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₹18,000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Maintenance, insurance, other</w:t>
            </w:r>
          </w:p>
        </w:tc>
        <w:tc>
          <w:tcPr>
            <w:tcW w:w="2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₹18,000</w:t>
            </w:r>
          </w:p>
        </w:tc>
        <w:tc>
          <w:tcPr>
            <w:tcW w:w="28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₹15,000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Margin before vehicle cost</w:t>
            </w:r>
          </w:p>
        </w:tc>
        <w:tc>
          <w:tcPr>
            <w:tcW w:w="2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₹76,058</w:t>
            </w:r>
          </w:p>
        </w:tc>
        <w:tc>
          <w:tcPr>
            <w:tcW w:w="28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₹91,780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Payback on ₹1.6 lakh vehicle</w:t>
            </w:r>
          </w:p>
        </w:tc>
        <w:tc>
          <w:tcPr>
            <w:tcW w:w="2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2.1 years</w:t>
            </w:r>
          </w:p>
        </w:tc>
        <w:tc>
          <w:tcPr>
            <w:tcW w:w="28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1.7 years</w:t>
            </w:r>
          </w:p>
        </w:tc>
      </w:tr>
    </w:tbl>
    <w:p>
      <w:pPr>
        <w:spacing w:after="140"/>
      </w:pPr>
      <w:r>
        <w:rPr>
          <w:rFonts w:ascii="Calibri" w:hAnsi="Calibri"/>
          <w:sz w:val="22"/>
        </w:rPr>
        <w:t xml:space="preserve"/>
      </w:r>
    </w:p>
    <w:p>
      <w:pPr>
        <w:keepNext/>
        <w:spacing w:after="40"/>
      </w:pPr>
      <w:r>
        <w:drawing>
          <wp:inline distT="0" distB="0" distL="0" distR="0">
            <wp:extent cx="6126480" cy="2123846"/>
            <wp:docPr id="1" name="a" descr="Chart 1. Best-case margin is about 67% of rent, from lower energy and battery costs and more rented days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B7078"/>
          <w:sz w:val="18"/>
        </w:rPr>
        <w:t xml:space="preserve">Chart 1. Best-case margin is about 67% of rent, from lower energy and battery costs and more rented days.</w:t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0"/>
        </w:rPr>
        <w:t xml:space="preserve">3. Solar and second-life storage</w:t>
      </w:r>
    </w:p>
    <w:tbl>
      <w:tblPr>
        <w:tblW w:w="9906" w:type="dxa"/>
        <w:tblBorders>
          <w:top w:val="single" w:sz="4" w:color="D6D2C7"/>
          <w:left w:val="single" w:sz="4" w:color="D6D2C7"/>
          <w:bottom w:val="single" w:sz="4" w:color="D6D2C7"/>
          <w:right w:val="single" w:sz="4" w:color="D6D2C7"/>
          <w:insideH w:val="single" w:sz="4" w:color="D6D2C7"/>
          <w:insideV w:val="single" w:sz="4" w:color="D6D2C7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3900"/>
        <w:gridCol w:w="1400"/>
        <w:gridCol w:w="1600"/>
        <w:gridCol w:w="1300"/>
        <w:gridCol w:w="1706"/>
      </w:tblGrid>
      <w:tr>
        <w:trPr>
          <w:cantSplit/>
          <w:tblHeader/>
        </w:trPr>
        <w:tc>
          <w:tcPr>
            <w:tcW w:w="39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 xml:space="preserve">3 kW system, projected inputs</w:t>
            </w:r>
          </w:p>
        </w:tc>
        <w:tc>
          <w:tcPr>
            <w:tcW w:w="14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 xml:space="preserve">Net cost</w:t>
            </w:r>
          </w:p>
        </w:tc>
        <w:tc>
          <w:tcPr>
            <w:tcW w:w="16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 xml:space="preserve">Year-1 saving</w:t>
            </w:r>
          </w:p>
        </w:tc>
        <w:tc>
          <w:tcPr>
            <w:tcW w:w="13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 xml:space="preserve">Payback</w:t>
            </w:r>
          </w:p>
        </w:tc>
        <w:tc>
          <w:tcPr>
            <w:tcW w:w="1706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 xml:space="preserve">25-year net cash</w:t>
            </w:r>
          </w:p>
        </w:tc>
      </w:tr>
      <w:tr>
        <w:trPr>
          <w:cantSplit/>
        </w:trPr>
        <w:tc>
          <w:tcPr>
            <w:tcW w:w="3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 xml:space="preserve">Solar, banking 1:1 (net metering as assumed)</w:t>
            </w:r>
          </w:p>
        </w:tc>
        <w:tc>
          <w:tcPr>
            <w:tcW w:w="14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₹1.08 lakh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₹41,580</w:t>
            </w:r>
          </w:p>
        </w:tc>
        <w:tc>
          <w:tcPr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2.6 years</w:t>
            </w:r>
          </w:p>
        </w:tc>
        <w:tc>
          <w:tcPr>
            <w:tcW w:w="17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₹11.69 lakh</w:t>
            </w:r>
          </w:p>
        </w:tc>
      </w:tr>
      <w:tr>
        <w:trPr>
          <w:cantSplit/>
        </w:trPr>
        <w:tc>
          <w:tcPr>
            <w:tcW w:w="39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 xml:space="preserve">Solar, no banking (surplus sold at ₹3)</w:t>
            </w:r>
          </w:p>
        </w:tc>
        <w:tc>
          <w:tcPr>
            <w:tcW w:w="14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₹1.08 lakh</w:t>
            </w:r>
          </w:p>
        </w:tc>
        <w:tc>
          <w:tcPr>
            <w:tcW w:w="16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₹16,200</w:t>
            </w:r>
          </w:p>
        </w:tc>
        <w:tc>
          <w:tcPr>
            <w:tcW w:w="13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7.4 years</w:t>
            </w:r>
          </w:p>
        </w:tc>
        <w:tc>
          <w:tcPr>
            <w:tcW w:w="1706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₹2.02 lakh</w:t>
            </w:r>
          </w:p>
        </w:tc>
      </w:tr>
      <w:tr>
        <w:trPr>
          <w:cantSplit/>
        </w:trPr>
        <w:tc>
          <w:tcPr>
            <w:tcW w:w="39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 xml:space="preserve">Solar + second-life storage, no banking</w:t>
            </w:r>
          </w:p>
        </w:tc>
        <w:tc>
          <w:tcPr>
            <w:tcW w:w="14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₹2.23 lakh</w:t>
            </w:r>
          </w:p>
        </w:tc>
        <w:tc>
          <w:tcPr>
            <w:tcW w:w="16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₹32,338</w:t>
            </w:r>
          </w:p>
        </w:tc>
        <w:tc>
          <w:tcPr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6.9 years</w:t>
            </w:r>
          </w:p>
        </w:tc>
        <w:tc>
          <w:tcPr>
            <w:tcW w:w="1706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 xml:space="preserve">₹6.40 lakh</w:t>
            </w:r>
          </w:p>
        </w:tc>
      </w:tr>
    </w:tbl>
    <w:p>
      <w:pPr>
        <w:spacing w:after="140"/>
      </w:pPr>
      <w:r>
        <w:rPr>
          <w:rFonts w:ascii="Calibri" w:hAnsi="Calibri"/>
          <w:sz w:val="22"/>
        </w:rPr>
        <w:t xml:space="preserve"/>
      </w:r>
    </w:p>
    <w:p>
      <w:pPr>
        <w:spacing w:after="180"/>
      </w:pPr>
      <w:r>
        <w:rPr>
          <w:rFonts w:ascii="Calibri" w:hAnsi="Calibri"/>
          <w:i/>
          <w:color w:val="6B7078"/>
          <w:sz w:val="18"/>
        </w:rPr>
        <w:t xml:space="preserve">Storage: 15 kWh nominal at 75% health (11.25 kWh usable), 90% round trip, 2% yearly loss, hybrid inverter ₹40,000 replaced in year 12. Stored energy displaces night tariff; the rest is sold at ₹3. Both settlement cases are shown because we could not verify UP's rule.</w:t>
      </w:r>
    </w:p>
    <w:p>
      <w:pPr>
        <w:keepNext/>
        <w:spacing w:after="40"/>
      </w:pPr>
      <w:r>
        <w:drawing>
          <wp:inline distT="0" distB="0" distL="0" distR="0">
            <wp:extent cx="6126480" cy="3308299"/>
            <wp:docPr id="2" name="b" descr="Chart 2. With banking, solar alone is the best investment (2.6 years). Without banking, storage cuts payback only slightly (7.4 to 6.9 years) but multiplies 25-year net cash from ₹2.02 lakh to ₹6.40 lakh, which supports the second-life design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0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B7078"/>
          <w:sz w:val="18"/>
        </w:rPr>
        <w:t xml:space="preserve">Chart 2. With banking, solar alone is the best investment (2.6 years). Without banking, storage cuts payback only slightly (7.4 to 6.9 years) but multiplies 25-year net cash from ₹2.02 lakh to ₹6.40 lakh, which supports the second-life design.</w:t>
      </w:r>
    </w:p>
    <w:p>
      <w:pPr>
        <w:keepNext/>
        <w:spacing w:after="40"/>
      </w:pPr>
      <w:r>
        <w:drawing>
          <wp:inline distT="0" distB="0" distL="0" distR="0">
            <wp:extent cx="6126480" cy="3144926"/>
            <wp:docPr id="3" name="c" descr="Chart 3. At ₹5,000 per kWh the storage repays its extra cost in about 7 years at a ₹7.70 night tariff; at ₹3,000 about 5; at ₹9,000 about 11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B7078"/>
          <w:sz w:val="18"/>
        </w:rPr>
        <w:t xml:space="preserve">Chart 3. At ₹5,000 per kWh the storage repays its extra cost in about 7 years at a ₹7.70 night tariff; at ₹3,000 about 5; at ₹9,000 about 11.</w:t>
      </w:r>
    </w:p>
    <w:tbl>
      <w:tblPr>
        <w:tblW w:w="9906" w:type="dxa"/>
        <w:tblLayout w:type="fixed"/>
        <w:tblCellMar>
          <w:top w:w="120" w:type="dxa"/>
          <w:left w:w="180" w:type="dxa"/>
          <w:bottom w:w="100" w:type="dxa"/>
          <w:right w:w="180" w:type="dxa"/>
        </w:tblCellMar>
      </w:tblPr>
      <w:tblGrid>
        <w:gridCol w:w="9906"/>
      </w:tblGrid>
      <w:tr>
        <w:tc>
          <w:tcPr>
            <w:tcW w:w="9906" w:type="dxa"/>
            <w:shd w:val="clear" w:color="auto" w:fill="F1F3F4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457D6"/>
                <w:sz w:val="24"/>
              </w:rPr>
              <w:t xml:space="preserve">Storage also does three things not counted above</w:t>
            </w:r>
          </w:p>
          <w:p>
            <w:pPr>
              <w:spacing w:after="50"/>
            </w:pPr>
            <w:r>
              <w:rPr>
                <w:rFonts w:ascii="Calibri" w:hAnsi="Calibri"/>
                <w:sz w:val="21"/>
              </w:rPr>
              <w:t xml:space="preserve">•  Peak shaving: it lets a garage run on a smaller connection (our 6 kW case: 5 of 10 ready on grid only, 10 of 10 with storage), avoiding a connection upgrade.</w:t>
            </w:r>
          </w:p>
          <w:p>
            <w:pPr>
              <w:spacing w:after="50"/>
            </w:pPr>
            <w:r>
              <w:rPr>
                <w:rFonts w:ascii="Calibri" w:hAnsi="Calibri"/>
                <w:sz w:val="21"/>
              </w:rPr>
              <w:t xml:space="preserve">•  Backup: charging can continue through power cuts. We have no data to value it.</w:t>
            </w:r>
          </w:p>
          <w:p>
            <w:pPr>
              <w:spacing w:after="50"/>
            </w:pPr>
            <w:r>
              <w:rPr>
                <w:rFonts w:ascii="Calibri" w:hAnsi="Calibri"/>
                <w:sz w:val="21"/>
              </w:rPr>
              <w:t xml:space="preserve">•  A second use for retired lithium packs, which cuts battery waste (the owner's largest controllable cost is ₹18,000–24,000 a vehicle a year).</w:t>
            </w:r>
          </w:p>
        </w:tc>
      </w:tr>
    </w:tbl>
    <w:p>
      <w:pPr>
        <w:spacing w:after="140"/>
      </w:pPr>
      <w:r>
        <w:rPr>
          <w:rFonts w:ascii="Calibri" w:hAnsi="Calibri"/>
          <w:sz w:val="22"/>
        </w:rPr>
        <w:t xml:space="preserve"/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0"/>
        </w:rPr>
        <w:t xml:space="preserve">4. What ChargeFlow adds per garage of 10</w:t>
      </w:r>
    </w:p>
    <w:tbl>
      <w:tblPr>
        <w:tblW w:w="9906" w:type="dxa"/>
        <w:tblBorders>
          <w:top w:val="single" w:sz="4" w:color="D6D2C7"/>
          <w:left w:val="single" w:sz="4" w:color="D6D2C7"/>
          <w:bottom w:val="single" w:sz="4" w:color="D6D2C7"/>
          <w:right w:val="single" w:sz="4" w:color="D6D2C7"/>
          <w:insideH w:val="single" w:sz="4" w:color="D6D2C7"/>
          <w:insideV w:val="single" w:sz="4" w:color="D6D2C7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6800"/>
        <w:gridCol w:w="3106"/>
      </w:tblGrid>
      <w:tr>
        <w:trPr>
          <w:cantSplit/>
          <w:tblHeader/>
        </w:trPr>
        <w:tc>
          <w:tcPr>
            <w:tcW w:w="68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Benefit and features</w:t>
            </w:r>
          </w:p>
        </w:tc>
        <w:tc>
          <w:tcPr>
            <w:tcW w:w="3106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Projected</w:t>
            </w:r>
          </w:p>
        </w:tc>
      </w:tr>
      <w:tr>
        <w:trPr>
          <w:cantSplit/>
        </w:trPr>
        <w:tc>
          <w:tcPr>
            <w:tcW w:w="68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Lower peak (about 4 kW less contracted load) and better timing</w:t>
            </w:r>
          </w:p>
        </w:tc>
        <w:tc>
          <w:tcPr>
            <w:tcW w:w="31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₹6,800 a year</w:t>
            </w:r>
          </w:p>
        </w:tc>
      </w:tr>
      <w:tr>
        <w:trPr>
          <w:cantSplit/>
        </w:trPr>
        <w:tc>
          <w:tcPr>
            <w:tcW w:w="68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Battery-life gain, 10% of ₹180,000 a year</w:t>
            </w:r>
          </w:p>
        </w:tc>
        <w:tc>
          <w:tcPr>
            <w:tcW w:w="31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₹18,000 a year</w:t>
            </w:r>
          </w:p>
        </w:tc>
      </w:tr>
      <w:tr>
        <w:trPr>
          <w:cantSplit/>
        </w:trPr>
        <w:tc>
          <w:tcPr>
            <w:tcW w:w="68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Total yearly value to the owner</w:t>
            </w:r>
          </w:p>
        </w:tc>
        <w:tc>
          <w:tcPr>
            <w:tcW w:w="31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₹24,800</w:t>
            </w:r>
          </w:p>
        </w:tc>
      </w:tr>
      <w:tr>
        <w:trPr>
          <w:cantSplit/>
        </w:trPr>
        <w:tc>
          <w:tcPr>
            <w:tcW w:w="68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Subscription ₹1,000 a month plus battery-health add-on ₹500 for half of garages</w:t>
            </w:r>
          </w:p>
        </w:tc>
        <w:tc>
          <w:tcPr>
            <w:tcW w:w="31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₹15,000</w:t>
            </w:r>
          </w:p>
        </w:tc>
      </w:tr>
      <w:tr>
        <w:trPr>
          <w:cantSplit/>
        </w:trPr>
        <w:tc>
          <w:tcPr>
            <w:tcW w:w="68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Owner's net gain from the controller</w:t>
            </w:r>
          </w:p>
        </w:tc>
        <w:tc>
          <w:tcPr>
            <w:tcW w:w="31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₹9,800</w:t>
            </w:r>
          </w:p>
        </w:tc>
      </w:tr>
      <w:tr>
        <w:trPr>
          <w:cantSplit/>
        </w:trPr>
        <w:tc>
          <w:tcPr>
            <w:tcW w:w="68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Plus solar with banking, year 1 (less ₹1,000 O&amp;M)</w:t>
            </w:r>
          </w:p>
        </w:tc>
        <w:tc>
          <w:tcPr>
            <w:tcW w:w="31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₹40,580</w:t>
            </w:r>
          </w:p>
        </w:tc>
      </w:tr>
      <w:tr>
        <w:trPr>
          <w:cantSplit/>
        </w:trPr>
        <w:tc>
          <w:tcPr>
            <w:tcW w:w="68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Total yearly gain for the owner</w:t>
            </w:r>
          </w:p>
        </w:tc>
        <w:tc>
          <w:tcPr>
            <w:tcW w:w="31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₹50,380</w:t>
            </w:r>
          </w:p>
        </w:tc>
      </w:tr>
    </w:tbl>
    <w:p>
      <w:pPr>
        <w:spacing w:after="140"/>
      </w:pPr>
      <w:r>
        <w:rPr>
          <w:rFonts w:ascii="Calibri" w:hAnsi="Calibri"/>
          <w:sz w:val="22"/>
        </w:rPr>
        <w:t xml:space="preserve"/>
      </w:r>
    </w:p>
    <w:p>
      <w:pPr>
        <w:spacing w:after="60"/>
      </w:pPr>
      <w:r>
        <w:rPr>
          <w:rFonts w:ascii="Calibri" w:hAnsi="Calibri"/>
          <w:b/>
          <w:sz w:val="21"/>
        </w:rPr>
        <w:t xml:space="preserve">New features in the projected:</w:t>
      </w:r>
    </w:p>
    <w:p>
      <w:pPr>
        <w:spacing w:after="70"/>
      </w:pPr>
      <w:r>
        <w:rPr>
          <w:rFonts w:ascii="Calibri" w:hAnsi="Calibri"/>
          <w:sz w:val="21"/>
        </w:rPr>
        <w:t xml:space="preserve">•  Battery-health tracker: the owner enters kilometres per full charge, the app estimates remaining health (E: 60 of 150 km) and flags packs for replacement or reuse.</w:t>
      </w:r>
    </w:p>
    <w:p>
      <w:pPr>
        <w:spacing w:after="70"/>
      </w:pPr>
      <w:r>
        <w:rPr>
          <w:rFonts w:ascii="Calibri" w:hAnsi="Calibri"/>
          <w:sz w:val="21"/>
        </w:rPr>
        <w:t xml:space="preserve">•  Pay-per-charge billing: records each vehicle's kWh so the owner bills drivers fairly instead of guessing.</w:t>
      </w:r>
    </w:p>
    <w:p>
      <w:pPr>
        <w:spacing w:after="70"/>
      </w:pPr>
      <w:r>
        <w:rPr>
          <w:rFonts w:ascii="Calibri" w:hAnsi="Calibri"/>
          <w:sz w:val="21"/>
        </w:rPr>
        <w:t xml:space="preserve">•  Second-life pack supply and fitting: retired lithium packs reconditioned for the garage's storage.</w:t>
      </w:r>
    </w:p>
    <w:p>
      <w:pPr>
        <w:spacing w:after="180"/>
      </w:pPr>
      <w:r>
        <w:rPr>
          <w:rFonts w:ascii="Calibri" w:hAnsi="Calibri"/>
          <w:i/>
          <w:color w:val="6B7078"/>
          <w:sz w:val="18"/>
        </w:rPr>
        <w:t xml:space="preserve">Features other than scheduling are not yet built or priced by customers. Their value is a target.</w:t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0"/>
        </w:rPr>
        <w:t xml:space="preserve">5. Company economics</w:t>
      </w:r>
    </w:p>
    <w:tbl>
      <w:tblPr>
        <w:tblW w:w="9906" w:type="dxa"/>
        <w:tblBorders>
          <w:top w:val="single" w:sz="4" w:color="D6D2C7"/>
          <w:left w:val="single" w:sz="4" w:color="D6D2C7"/>
          <w:bottom w:val="single" w:sz="4" w:color="D6D2C7"/>
          <w:right w:val="single" w:sz="4" w:color="D6D2C7"/>
          <w:insideH w:val="single" w:sz="4" w:color="D6D2C7"/>
          <w:insideV w:val="single" w:sz="4" w:color="D6D2C7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</w:tblPr>
      <w:tblGrid>
        <w:gridCol w:w="4400"/>
        <w:gridCol w:w="2700"/>
        <w:gridCol w:w="2806"/>
      </w:tblGrid>
      <w:tr>
        <w:trPr>
          <w:cantSplit/>
          <w:tblHeader/>
        </w:trPr>
        <w:tc>
          <w:tcPr>
            <w:tcW w:w="44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Per garage</w:t>
            </w:r>
          </w:p>
        </w:tc>
        <w:tc>
          <w:tcPr>
            <w:tcW w:w="2700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Conservative estimate</w:t>
            </w:r>
          </w:p>
        </w:tc>
        <w:tc>
          <w:tcPr>
            <w:tcW w:w="2806" w:type="dxa"/>
            <w:shd w:val="clear" w:color="auto" w:fill="E3DFD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Projected</w:t>
            </w:r>
          </w:p>
        </w:tc>
      </w:tr>
      <w:tr>
        <w:trPr>
          <w:cantSplit/>
        </w:trPr>
        <w:tc>
          <w:tcPr>
            <w:tcW w:w="44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Contribution per garage per month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₹617</w:t>
            </w:r>
          </w:p>
        </w:tc>
        <w:tc>
          <w:tcPr>
            <w:tcW w:w="28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₹1,291</w:t>
            </w:r>
          </w:p>
        </w:tc>
      </w:tr>
      <w:tr>
        <w:trPr>
          <w:cantSplit/>
        </w:trPr>
        <w:tc>
          <w:tcPr>
            <w:tcW w:w="44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Hardware + acquisition cost per garage</w:t>
            </w:r>
          </w:p>
        </w:tc>
        <w:tc>
          <w:tcPr>
            <w:tcW w:w="27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₹11,000</w:t>
            </w:r>
          </w:p>
        </w:tc>
        <w:tc>
          <w:tcPr>
            <w:tcW w:w="28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₹8,000</w:t>
            </w:r>
          </w:p>
        </w:tc>
      </w:tr>
      <w:tr>
        <w:trPr>
          <w:cantSplit/>
        </w:trPr>
        <w:tc>
          <w:tcPr>
            <w:tcW w:w="44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Payback of that cost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18 months</w:t>
            </w:r>
          </w:p>
        </w:tc>
        <w:tc>
          <w:tcPr>
            <w:tcW w:w="28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6 months</w:t>
            </w:r>
          </w:p>
        </w:tc>
      </w:tr>
      <w:tr>
        <w:trPr>
          <w:cantSplit/>
        </w:trPr>
        <w:tc>
          <w:tcPr>
            <w:tcW w:w="44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Breakeven garages (vehicles)</w:t>
            </w:r>
          </w:p>
        </w:tc>
        <w:tc>
          <w:tcPr>
            <w:tcW w:w="2700" w:type="dxa"/>
            <w:shd w:val="clear" w:color="auto" w:fill="F7F5F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162 (1,622)</w:t>
            </w:r>
          </w:p>
        </w:tc>
        <w:tc>
          <w:tcPr>
            <w:tcW w:w="28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65 (646)</w:t>
            </w:r>
          </w:p>
        </w:tc>
      </w:tr>
      <w:tr>
        <w:trPr>
          <w:cantSplit/>
        </w:trPr>
        <w:tc>
          <w:tcPr>
            <w:tcW w:w="44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 xml:space="preserve">Upfront cash to reach breakeven</w:t>
            </w:r>
          </w:p>
        </w:tc>
        <w:tc>
          <w:tcPr>
            <w:tcW w:w="2700" w:type="dxa"/>
            <w:shd w:val="clear" w:color="auto" w:fill="FFFFFF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₹17.84 lakh</w:t>
            </w:r>
          </w:p>
        </w:tc>
        <w:tc>
          <w:tcPr>
            <w:tcW w:w="2806" w:type="dxa"/>
            <w:shd w:val="clear" w:color="auto" w:fill="E8EEFB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₹5.17 lakh</w:t>
            </w:r>
          </w:p>
        </w:tc>
      </w:tr>
    </w:tbl>
    <w:p>
      <w:pPr>
        <w:spacing w:after="140"/>
      </w:pPr>
      <w:r>
        <w:rPr>
          <w:rFonts w:ascii="Calibri" w:hAnsi="Calibri"/>
          <w:sz w:val="22"/>
        </w:rPr>
        <w:t xml:space="preserve"/>
      </w:r>
    </w:p>
    <w:p>
      <w:pPr>
        <w:keepNext/>
        <w:spacing w:after="40"/>
      </w:pPr>
      <w:r>
        <w:drawing>
          <wp:inline distT="0" distB="0" distL="0" distR="0">
            <wp:extent cx="6126480" cy="3144926"/>
            <wp:docPr id="4" name="d" descr="Chart 4. Projected breaks even at about 65 garages. Varanasi added about 17,000 e-rickshaws in 2022–24, so this is a small share of the reachable market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B7078"/>
          <w:sz w:val="18"/>
        </w:rPr>
        <w:t xml:space="preserve">Chart 4. Projected breaks even at about 65 garages. Varanasi added about 17,000 e-rickshaws in 2022–24, so this is a small share of the reachable market.</w:t>
      </w:r>
    </w:p>
    <w:p>
      <w:pPr>
        <w:pStyle w:val="Heading1"/>
        <w:keepNext/>
        <w:spacing w:after="100"/>
      </w:pPr>
      <w:r>
        <w:rPr>
          <w:rFonts w:ascii="Calibri" w:hAnsi="Calibri"/>
          <w:b/>
          <w:color w:val="171A20"/>
          <w:sz w:val="30"/>
        </w:rPr>
        <w:t xml:space="preserve">6. How we prove it (one pilot garage, 4 weeks)</w:t>
      </w:r>
    </w:p>
    <w:p>
      <w:pPr>
        <w:spacing w:after="70"/>
      </w:pPr>
      <w:r>
        <w:rPr>
          <w:rFonts w:ascii="Calibri" w:hAnsi="Calibri"/>
          <w:sz w:val="21"/>
        </w:rPr>
        <w:t xml:space="preserve">•  Week 1: smart plugs and a meter on all chargers; log kW, start and stop times and kWh per vehicle.</w:t>
      </w:r>
    </w:p>
    <w:p>
      <w:pPr>
        <w:spacing w:after="70"/>
      </w:pPr>
      <w:r>
        <w:rPr>
          <w:rFonts w:ascii="Calibri" w:hAnsi="Calibri"/>
          <w:sz w:val="21"/>
        </w:rPr>
        <w:t xml:space="preserve">•  Weeks 2–4: run the schedule on half the chargers and leave the rest as usual; compare energy, peak and battery range readings.</w:t>
      </w:r>
    </w:p>
    <w:p>
      <w:pPr>
        <w:spacing w:after="70"/>
      </w:pPr>
      <w:r>
        <w:rPr>
          <w:rFonts w:ascii="Calibri" w:hAnsi="Calibri"/>
          <w:sz w:val="21"/>
        </w:rPr>
        <w:t xml:space="preserve">•  Ask the DISCOM: connection class, net-metering banking and surplus rate, and subsidy eligibility.</w:t>
      </w:r>
    </w:p>
    <w:p>
      <w:pPr>
        <w:spacing w:after="70"/>
      </w:pPr>
      <w:r>
        <w:rPr>
          <w:rFonts w:ascii="Calibri" w:hAnsi="Calibri"/>
          <w:sz w:val="21"/>
        </w:rPr>
        <w:t xml:space="preserve">•  Get one quote each for a 3 kW system and a 15 kWh second-life pack.</w:t>
      </w:r>
    </w:p>
    <w:p>
      <w:pPr>
        <w:spacing w:after="70"/>
      </w:pPr>
      <w:r>
        <w:rPr>
          <w:rFonts w:ascii="Calibri" w:hAnsi="Calibri"/>
          <w:sz w:val="21"/>
        </w:rPr>
        <w:t xml:space="preserve">•  Re-run this model with the results. Any assumption that fails moves the case back toward the first report.</w:t>
      </w:r>
    </w:p>
    <w:p>
      <w:pPr>
        <w:spacing w:after="180"/>
      </w:pPr>
      <w:r>
        <w:rPr>
          <w:rFonts w:ascii="Calibri" w:hAnsi="Calibri"/>
          <w:i/>
          <w:color w:val="6B7078"/>
          <w:sz w:val="18"/>
        </w:rPr>
        <w:t xml:space="preserve">Sources and the subsidy table are in the first report (Unit_Economics_Feasibility.docx). Both reports rely on installer blogs and secondary reports for some prices; verify before quoting to an owner.</w:t>
      </w:r>
    </w:p>
    <w:sectPr>
      <w:footerReference w:type="default" r:id="rIdFoot"/>
      <w:pgSz w:w="11906" w:h="16838"/>
      <w:pgMar w:top="1000" w:right="1000" w:bottom="1000" w:left="1000" w:header="500" w:footer="50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6B7078"/>
        <w:sz w:val="18"/>
      </w:rPr>
      <w:t xml:space="preserve">ChargeFlow · Unit economics and feasibility · page </w:t>
    </w: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20"/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Foot" Type="http://schemas.openxmlformats.org/officeDocument/2006/relationships/footer" Target="footer1.xml"/><Relationship Id="rIdImg1" Type="http://schemas.openxmlformats.org/officeDocument/2006/relationships/image" Target="media/a.png"/><Relationship Id="rIdImg2" Type="http://schemas.openxmlformats.org/officeDocument/2006/relationships/image" Target="media/b.png"/><Relationship Id="rIdImg3" Type="http://schemas.openxmlformats.org/officeDocument/2006/relationships/image" Target="media/c.png"/><Relationship Id="rIdImg4" Type="http://schemas.openxmlformats.org/officeDocument/2006/relationships/image" Target="media/d.png"/></Relationships>
</file>