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A6BF" w14:textId="77777777" w:rsidR="0017659C" w:rsidRPr="003E2D94" w:rsidRDefault="00F64F49" w:rsidP="0017659C">
      <w:pPr>
        <w:rPr>
          <w:rFonts w:ascii="Times New Roman" w:hAnsi="Times New Roman" w:cs="Times New Roman"/>
          <w:b/>
          <w:bCs/>
        </w:rPr>
      </w:pPr>
      <w:r w:rsidRPr="003E2D94">
        <w:rPr>
          <w:rFonts w:ascii="Times New Roman" w:hAnsi="Times New Roman" w:cs="Times New Roman"/>
          <w:b/>
          <w:bCs/>
        </w:rPr>
        <w:t>Classification labels</w:t>
      </w:r>
    </w:p>
    <w:p w14:paraId="38B88144" w14:textId="7822DC14" w:rsidR="001B21B2" w:rsidRDefault="001F697C" w:rsidP="001B21B2">
      <w:pPr>
        <w:rPr>
          <w:rFonts w:ascii="Times New Roman" w:hAnsi="Times New Roman" w:cs="Times New Roman"/>
        </w:rPr>
      </w:pPr>
      <w:r w:rsidRPr="003E2D94">
        <w:rPr>
          <w:rFonts w:ascii="Times New Roman" w:hAnsi="Times New Roman" w:cs="Times New Roman"/>
        </w:rPr>
        <w:t xml:space="preserve">Initial </w:t>
      </w:r>
      <w:r>
        <w:rPr>
          <w:rFonts w:ascii="Times New Roman" w:hAnsi="Times New Roman" w:cs="Times New Roman"/>
        </w:rPr>
        <w:t xml:space="preserve">data exploration </w:t>
      </w:r>
      <w:r w:rsidRPr="003E2D94">
        <w:rPr>
          <w:rFonts w:ascii="Times New Roman" w:hAnsi="Times New Roman" w:cs="Times New Roman"/>
        </w:rPr>
        <w:t xml:space="preserve">showed that the </w:t>
      </w:r>
      <w:r w:rsidR="00E434AF">
        <w:rPr>
          <w:rFonts w:ascii="Times New Roman" w:hAnsi="Times New Roman" w:cs="Times New Roman"/>
        </w:rPr>
        <w:t xml:space="preserve">Recurrence Free Survival (RFS) </w:t>
      </w:r>
      <w:r w:rsidRPr="003E2D94">
        <w:rPr>
          <w:rFonts w:ascii="Times New Roman" w:hAnsi="Times New Roman" w:cs="Times New Roman"/>
        </w:rPr>
        <w:t>distribution for recurrent samples was skewed toward shorter intervals</w:t>
      </w:r>
      <w:r w:rsidR="00687D84">
        <w:rPr>
          <w:rFonts w:ascii="Times New Roman" w:hAnsi="Times New Roman" w:cs="Times New Roman"/>
        </w:rPr>
        <w:t xml:space="preserve">. </w:t>
      </w:r>
      <w:r w:rsidRPr="003E2D94">
        <w:rPr>
          <w:rFonts w:ascii="Times New Roman" w:hAnsi="Times New Roman" w:cs="Times New Roman"/>
        </w:rPr>
        <w:t xml:space="preserve">Based on this observation, samples were stratified by </w:t>
      </w:r>
      <w:r w:rsidR="00E434AF">
        <w:rPr>
          <w:rFonts w:ascii="Times New Roman" w:hAnsi="Times New Roman" w:cs="Times New Roman"/>
        </w:rPr>
        <w:t>RFS</w:t>
      </w:r>
      <w:r w:rsidRPr="003E2D94">
        <w:rPr>
          <w:rFonts w:ascii="Times New Roman" w:hAnsi="Times New Roman" w:cs="Times New Roman"/>
        </w:rPr>
        <w:t xml:space="preserve"> time: </w:t>
      </w:r>
      <w:r w:rsidR="006B29F8">
        <w:rPr>
          <w:rFonts w:ascii="Times New Roman" w:hAnsi="Times New Roman" w:cs="Times New Roman"/>
        </w:rPr>
        <w:t>R</w:t>
      </w:r>
      <w:r w:rsidRPr="003E2D94">
        <w:rPr>
          <w:rFonts w:ascii="Times New Roman" w:hAnsi="Times New Roman" w:cs="Times New Roman"/>
        </w:rPr>
        <w:t>ecurrence</w:t>
      </w:r>
      <w:r w:rsidR="006B29F8">
        <w:rPr>
          <w:rFonts w:ascii="Times New Roman" w:hAnsi="Times New Roman" w:cs="Times New Roman"/>
        </w:rPr>
        <w:t>s</w:t>
      </w:r>
      <w:r w:rsidRPr="003E2D94">
        <w:rPr>
          <w:rFonts w:ascii="Times New Roman" w:hAnsi="Times New Roman" w:cs="Times New Roman"/>
        </w:rPr>
        <w:t xml:space="preserve"> within </w:t>
      </w:r>
      <w:r>
        <w:rPr>
          <w:rFonts w:ascii="Times New Roman" w:hAnsi="Times New Roman" w:cs="Times New Roman"/>
        </w:rPr>
        <w:t>36 months</w:t>
      </w:r>
      <w:r w:rsidRPr="003E2D94">
        <w:rPr>
          <w:rFonts w:ascii="Times New Roman" w:hAnsi="Times New Roman" w:cs="Times New Roman"/>
        </w:rPr>
        <w:t xml:space="preserve"> were classified as </w:t>
      </w:r>
      <w:r w:rsidRPr="003E2D94">
        <w:rPr>
          <w:rStyle w:val="Strong"/>
          <w:rFonts w:ascii="Times New Roman" w:hAnsi="Times New Roman" w:cs="Times New Roman"/>
        </w:rPr>
        <w:t>“High Recurrence Risk”</w:t>
      </w:r>
      <w:r w:rsidRPr="003E2D94">
        <w:rPr>
          <w:rFonts w:ascii="Times New Roman" w:hAnsi="Times New Roman" w:cs="Times New Roman"/>
        </w:rPr>
        <w:t xml:space="preserve">, </w:t>
      </w:r>
      <w:r w:rsidR="006B29F8">
        <w:rPr>
          <w:rFonts w:ascii="Times New Roman" w:hAnsi="Times New Roman" w:cs="Times New Roman"/>
        </w:rPr>
        <w:t xml:space="preserve">no recurrence or </w:t>
      </w:r>
      <w:r w:rsidRPr="003E2D94">
        <w:rPr>
          <w:rFonts w:ascii="Times New Roman" w:hAnsi="Times New Roman" w:cs="Times New Roman"/>
        </w:rPr>
        <w:t>recurrence</w:t>
      </w:r>
      <w:r w:rsidR="006B29F8">
        <w:rPr>
          <w:rFonts w:ascii="Times New Roman" w:hAnsi="Times New Roman" w:cs="Times New Roman"/>
        </w:rPr>
        <w:t>s</w:t>
      </w:r>
      <w:r w:rsidRPr="003E2D94">
        <w:rPr>
          <w:rFonts w:ascii="Times New Roman" w:hAnsi="Times New Roman" w:cs="Times New Roman"/>
        </w:rPr>
        <w:t xml:space="preserve"> occurr</w:t>
      </w:r>
      <w:r w:rsidR="006B29F8">
        <w:rPr>
          <w:rFonts w:ascii="Times New Roman" w:hAnsi="Times New Roman" w:cs="Times New Roman"/>
        </w:rPr>
        <w:t xml:space="preserve">ing </w:t>
      </w:r>
      <w:r w:rsidRPr="003E2D94">
        <w:rPr>
          <w:rFonts w:ascii="Times New Roman" w:hAnsi="Times New Roman" w:cs="Times New Roman"/>
        </w:rPr>
        <w:t xml:space="preserve">after </w:t>
      </w:r>
      <w:r>
        <w:rPr>
          <w:rFonts w:ascii="Times New Roman" w:hAnsi="Times New Roman" w:cs="Times New Roman"/>
        </w:rPr>
        <w:t>3</w:t>
      </w:r>
      <w:r w:rsidR="00D65EA8">
        <w:rPr>
          <w:rFonts w:ascii="Times New Roman" w:hAnsi="Times New Roman" w:cs="Times New Roman"/>
        </w:rPr>
        <w:t>6 months</w:t>
      </w:r>
      <w:r>
        <w:rPr>
          <w:rFonts w:ascii="Times New Roman" w:hAnsi="Times New Roman" w:cs="Times New Roman"/>
        </w:rPr>
        <w:t xml:space="preserve"> </w:t>
      </w:r>
      <w:r w:rsidRPr="003E2D94">
        <w:rPr>
          <w:rFonts w:ascii="Times New Roman" w:hAnsi="Times New Roman" w:cs="Times New Roman"/>
        </w:rPr>
        <w:t xml:space="preserve">were classified as </w:t>
      </w:r>
      <w:r w:rsidRPr="003E2D94">
        <w:rPr>
          <w:rStyle w:val="Strong"/>
          <w:rFonts w:ascii="Times New Roman" w:hAnsi="Times New Roman" w:cs="Times New Roman"/>
        </w:rPr>
        <w:t>“Low Recurrence Risk”</w:t>
      </w:r>
      <w:r w:rsidRPr="003E2D94">
        <w:rPr>
          <w:rFonts w:ascii="Times New Roman" w:hAnsi="Times New Roman" w:cs="Times New Roman"/>
        </w:rPr>
        <w:t xml:space="preserve">. </w:t>
      </w:r>
      <w:r w:rsidR="00D65EA8">
        <w:rPr>
          <w:rFonts w:ascii="Times New Roman" w:hAnsi="Times New Roman" w:cs="Times New Roman"/>
        </w:rPr>
        <w:t>Th</w:t>
      </w:r>
      <w:r w:rsidR="00E434AF">
        <w:rPr>
          <w:rFonts w:ascii="Times New Roman" w:hAnsi="Times New Roman" w:cs="Times New Roman"/>
        </w:rPr>
        <w:t>is</w:t>
      </w:r>
      <w:r w:rsidR="00D65EA8">
        <w:rPr>
          <w:rFonts w:ascii="Times New Roman" w:hAnsi="Times New Roman" w:cs="Times New Roman"/>
        </w:rPr>
        <w:t xml:space="preserve"> focus on </w:t>
      </w:r>
      <w:r w:rsidR="00E434AF">
        <w:rPr>
          <w:rFonts w:ascii="Times New Roman" w:hAnsi="Times New Roman" w:cs="Times New Roman"/>
        </w:rPr>
        <w:t xml:space="preserve">RFS times </w:t>
      </w:r>
      <w:r w:rsidRPr="003E2D94">
        <w:rPr>
          <w:rFonts w:ascii="Times New Roman" w:hAnsi="Times New Roman" w:cs="Times New Roman"/>
        </w:rPr>
        <w:t>ensure</w:t>
      </w:r>
      <w:r w:rsidR="006B29F8">
        <w:rPr>
          <w:rFonts w:ascii="Times New Roman" w:hAnsi="Times New Roman" w:cs="Times New Roman"/>
        </w:rPr>
        <w:t>s</w:t>
      </w:r>
      <w:r w:rsidRPr="003E2D94">
        <w:rPr>
          <w:rFonts w:ascii="Times New Roman" w:hAnsi="Times New Roman" w:cs="Times New Roman"/>
        </w:rPr>
        <w:t xml:space="preserve"> that the </w:t>
      </w:r>
      <w:r w:rsidR="00E434AF">
        <w:rPr>
          <w:rFonts w:ascii="Times New Roman" w:hAnsi="Times New Roman" w:cs="Times New Roman"/>
        </w:rPr>
        <w:t xml:space="preserve">generated </w:t>
      </w:r>
      <w:r w:rsidRPr="003E2D94">
        <w:rPr>
          <w:rFonts w:ascii="Times New Roman" w:hAnsi="Times New Roman" w:cs="Times New Roman"/>
        </w:rPr>
        <w:t>labels carry prognostic valu</w:t>
      </w:r>
      <w:r w:rsidR="00306C9C">
        <w:rPr>
          <w:rFonts w:ascii="Times New Roman" w:hAnsi="Times New Roman" w:cs="Times New Roman"/>
        </w:rPr>
        <w:t>e</w:t>
      </w:r>
      <w:r w:rsidR="00D65EA8">
        <w:rPr>
          <w:rFonts w:ascii="Times New Roman" w:hAnsi="Times New Roman" w:cs="Times New Roman"/>
        </w:rPr>
        <w:t>.</w:t>
      </w:r>
    </w:p>
    <w:p w14:paraId="6BA8FA57" w14:textId="77777777" w:rsidR="00D65EA8" w:rsidRPr="003E2D94" w:rsidRDefault="00D65EA8" w:rsidP="001B21B2">
      <w:pPr>
        <w:rPr>
          <w:rFonts w:ascii="Times New Roman" w:hAnsi="Times New Roman" w:cs="Times New Roman"/>
        </w:rPr>
      </w:pPr>
    </w:p>
    <w:p w14:paraId="532E5056" w14:textId="12E1020B" w:rsidR="003E715F" w:rsidRDefault="00C65347">
      <w:pPr>
        <w:rPr>
          <w:rFonts w:ascii="Times New Roman" w:hAnsi="Times New Roman" w:cs="Times New Roman"/>
          <w:b/>
          <w:bCs/>
        </w:rPr>
      </w:pPr>
      <w:r>
        <w:rPr>
          <w:rFonts w:ascii="Times New Roman" w:hAnsi="Times New Roman" w:cs="Times New Roman"/>
          <w:b/>
          <w:bCs/>
        </w:rPr>
        <w:t>Feature Selection</w:t>
      </w:r>
    </w:p>
    <w:p w14:paraId="781713B8" w14:textId="0025CE29" w:rsidR="008C1575" w:rsidRDefault="001B21B2">
      <w:pPr>
        <w:rPr>
          <w:rFonts w:ascii="Times New Roman" w:hAnsi="Times New Roman" w:cs="Times New Roman"/>
        </w:rPr>
      </w:pPr>
      <w:r w:rsidRPr="001B21B2">
        <w:rPr>
          <w:rFonts w:ascii="Times New Roman" w:hAnsi="Times New Roman" w:cs="Times New Roman"/>
        </w:rPr>
        <w:t>To ensure compatibility with the microarray data, genomic features not shared between the UROMOL and Knowles datasets were excluded. The UROMOL cohort was randomly divided into training and test sets using a 70:30 split, and all genomic feature selection was performed exclusively on the training set.</w:t>
      </w:r>
      <w:r w:rsidRPr="001B21B2">
        <w:rPr>
          <w:rFonts w:ascii="Times New Roman" w:hAnsi="Times New Roman" w:cs="Times New Roman"/>
        </w:rPr>
        <w:t xml:space="preserve"> </w:t>
      </w:r>
      <w:r w:rsidR="008C1575" w:rsidRPr="001B21B2">
        <w:rPr>
          <w:rFonts w:ascii="Times New Roman" w:hAnsi="Times New Roman" w:cs="Times New Roman"/>
        </w:rPr>
        <w:t>To</w:t>
      </w:r>
      <w:r w:rsidR="008C1575">
        <w:rPr>
          <w:rFonts w:ascii="Times New Roman" w:hAnsi="Times New Roman" w:cs="Times New Roman"/>
        </w:rPr>
        <w:t xml:space="preserve"> avoid overfitting to the generated labels</w:t>
      </w:r>
      <w:r>
        <w:rPr>
          <w:rFonts w:ascii="Times New Roman" w:hAnsi="Times New Roman" w:cs="Times New Roman"/>
        </w:rPr>
        <w:t>,</w:t>
      </w:r>
      <w:r w:rsidR="007D4C00">
        <w:rPr>
          <w:rFonts w:ascii="Times New Roman" w:hAnsi="Times New Roman" w:cs="Times New Roman"/>
        </w:rPr>
        <w:t xml:space="preserve"> </w:t>
      </w:r>
      <w:r w:rsidR="008C1575">
        <w:rPr>
          <w:rFonts w:ascii="Times New Roman" w:hAnsi="Times New Roman" w:cs="Times New Roman"/>
        </w:rPr>
        <w:t xml:space="preserve">genomic features were selected based on direct impact </w:t>
      </w:r>
      <w:r w:rsidR="00E434AF">
        <w:rPr>
          <w:rFonts w:ascii="Times New Roman" w:hAnsi="Times New Roman" w:cs="Times New Roman"/>
        </w:rPr>
        <w:t>on</w:t>
      </w:r>
      <w:r w:rsidR="008C1575">
        <w:rPr>
          <w:rFonts w:ascii="Times New Roman" w:hAnsi="Times New Roman" w:cs="Times New Roman"/>
        </w:rPr>
        <w:t xml:space="preserve"> </w:t>
      </w:r>
      <w:r w:rsidR="00E434AF">
        <w:rPr>
          <w:rFonts w:ascii="Times New Roman" w:hAnsi="Times New Roman" w:cs="Times New Roman"/>
        </w:rPr>
        <w:t xml:space="preserve">RFS </w:t>
      </w:r>
      <w:r w:rsidR="008C1575">
        <w:rPr>
          <w:rFonts w:ascii="Times New Roman" w:hAnsi="Times New Roman" w:cs="Times New Roman"/>
        </w:rPr>
        <w:t xml:space="preserve">time using a </w:t>
      </w:r>
      <w:r w:rsidR="007D4C00">
        <w:rPr>
          <w:rFonts w:ascii="Times New Roman" w:hAnsi="Times New Roman" w:cs="Times New Roman"/>
        </w:rPr>
        <w:t>LASSO</w:t>
      </w:r>
      <w:r w:rsidR="008C1575">
        <w:rPr>
          <w:rFonts w:ascii="Times New Roman" w:hAnsi="Times New Roman" w:cs="Times New Roman"/>
        </w:rPr>
        <w:t xml:space="preserve"> Cox</w:t>
      </w:r>
      <w:r w:rsidR="00B85583">
        <w:rPr>
          <w:rFonts w:ascii="Times New Roman" w:hAnsi="Times New Roman" w:cs="Times New Roman"/>
        </w:rPr>
        <w:t xml:space="preserve"> regression</w:t>
      </w:r>
      <w:r w:rsidR="00192E64">
        <w:rPr>
          <w:rFonts w:ascii="Times New Roman" w:hAnsi="Times New Roman" w:cs="Times New Roman"/>
        </w:rPr>
        <w:t xml:space="preserve"> model</w:t>
      </w:r>
      <w:r w:rsidR="008C1575">
        <w:rPr>
          <w:rFonts w:ascii="Times New Roman" w:hAnsi="Times New Roman" w:cs="Times New Roman"/>
        </w:rPr>
        <w:t>.</w:t>
      </w:r>
      <w:r w:rsidR="00EA7E91">
        <w:rPr>
          <w:rFonts w:ascii="Times New Roman" w:hAnsi="Times New Roman" w:cs="Times New Roman"/>
        </w:rPr>
        <w:t xml:space="preserve"> </w:t>
      </w:r>
      <w:r w:rsidR="007D4C00">
        <w:rPr>
          <w:rFonts w:ascii="Times New Roman" w:hAnsi="Times New Roman" w:cs="Times New Roman"/>
        </w:rPr>
        <w:t>Demographic information such as a</w:t>
      </w:r>
      <w:r w:rsidR="00AE67C3">
        <w:rPr>
          <w:rFonts w:ascii="Times New Roman" w:hAnsi="Times New Roman" w:cs="Times New Roman"/>
        </w:rPr>
        <w:t xml:space="preserve">ge, sex, and </w:t>
      </w:r>
      <w:r w:rsidR="007D4C00">
        <w:rPr>
          <w:rFonts w:ascii="Times New Roman" w:hAnsi="Times New Roman" w:cs="Times New Roman"/>
        </w:rPr>
        <w:t xml:space="preserve">smoking have known </w:t>
      </w:r>
      <w:r w:rsidR="00AE67C3">
        <w:rPr>
          <w:rFonts w:ascii="Times New Roman" w:hAnsi="Times New Roman" w:cs="Times New Roman"/>
        </w:rPr>
        <w:t>impacts on bladder cancer</w:t>
      </w:r>
      <w:r w:rsidR="007D4C00">
        <w:rPr>
          <w:rFonts w:ascii="Times New Roman" w:hAnsi="Times New Roman" w:cs="Times New Roman"/>
        </w:rPr>
        <w:t xml:space="preserve"> and were included in the features set </w:t>
      </w:r>
      <w:r w:rsidR="00AE67C3">
        <w:rPr>
          <w:rFonts w:ascii="Times New Roman" w:hAnsi="Times New Roman" w:cs="Times New Roman"/>
        </w:rPr>
        <w:fldChar w:fldCharType="begin"/>
      </w:r>
      <w:r w:rsidR="00AE67C3">
        <w:rPr>
          <w:rFonts w:ascii="Times New Roman" w:hAnsi="Times New Roman" w:cs="Times New Roman"/>
        </w:rPr>
        <w:instrText xml:space="preserve"> ADDIN ZOTERO_ITEM CSL_CITATION {"citationID":"0iKpb1ZJ","properties":{"unsorted":false,"formattedCitation":"\\super 1\\uc0\\u8211{}3\\nosupersub{}","plainCitation":"1–3","noteIndex":0},"citationItems":[{"id":5886,"uris":["http://zotero.org/users/13045277/items/NV7VGTGL"],"itemData":{"id":5886,"type":"article-journal","abstract":"Background\nAn older age contributes to the development of bladder cancer. However, the relationship between advanced age at the diagnosis and prognosis of bladder cancer has been few reported. This study aimed to determine the effect of age on survival in bladder cancer with different subgroups.\n\nMethods\n117,275 patients with bladder cancer, identified from the Surveillance, Epidemiology, and End Results database during 2004-2015 in America, were divided into 4 age groups (≤54, 55 to 64, 65 to 74, and ≥75 years). Multivariable Cox proportional-hazards model and competing risk model were conducted according to different age groups. Heat maps were plotted to show the impact of age on survival in subgroups classified by other clinicopathological variables. Moreover, restricted cubic spline was used to model the association between age and the risk of death.\n\nResults\nPatients aged ≥75 years had shorter overall survival in comparison with those aged ≤54 years (hazard ratio [HR] = 5.36, 95% confidence interval [CI] = 5.13-5.59). Compared with patients aged ≤54 years, patients older than 75 years experienced a decreased rate of bladder cancer-specific survival (subdistribution HR = 2.15, 95% CI = 2.04-2.25). Heat maps also showed that older ages were associated with worse overall cumulative mortality and bladder cancer-specific cumulative mortality. Similarly, restricted cubic spline verified the impact of age on survival of bladder cancer.\n\nConclusions\nAge at diagnosis of bladder cancer was found to be a significant predictor for the worse overall survival and bladder cancer-specific survival even in an era with more effective therapies. Exploring the reasons why older age contributes to poor outcomes for bladder cancer will be the focus of future research.","container-title":"Cancer Control : Journal of the Moffitt Cancer Center","DOI":"10.1177/10732748231152322","ISSN":"1073-2748","journalAbbreviation":"Cancer Control","page":"10732748231152322","PMID":"36662642","PMCID":"PMC9903028","source":"PubMed Central","title":"Impact of Age at Diagnosis of Bladder Cancer on Survival: A Surveillance, Epidemiology, and End Results-Based Study 2004-2015","title-short":"Impact of Age at Diagnosis of Bladder Cancer on Survival","volume":"30","author":[{"family":"Lin","given":"Wu"},{"family":"Pan","given":"Xuming"},{"family":"Zhang","given":"Chun"},{"family":"Ye","given":"Bochun"},{"family":"Song","given":"Jia"}],"issued":{"date-parts":[["2023",1,20]]}}},{"id":5888,"uris":["http://zotero.org/users/13045277/items/3ZMA46JK"],"itemData":{"id":5888,"type":"article-journal","abstract":"Bladder cancer (BC) remains a significant global health concern, with substantial sex and racial disparities in incidence, progression, and outcomes. BC is the sixth most common cancer among males and the seventeenth most common among females worldwide. Over 90% of BC cases are urothelial carcinoma (UC) with high degrees of pathological heterogeneity. Molecular subtyping of BC has also revealed distinct luminal, basal, and neuroendocrine subtypes, each with unique genetic and immune signatures. Emerging research uncovers the biasing effects of the sex hormones with androgens increasing BC risk through both tumor cell intrinsic and extrinsic mechanisms. The sex chromosomes, including both the X and Y chromosomes, also contribute to the sex differences in BC. The effect of sex chromosome is both independent from and synergistic with the effects of sex hormones. Loss of the Y chromosome is frequently observed in BC patients, while an extra copy of the X chromosome confers better protection against BC in females than in males. Advent of advanced technologies such as multiomics and artificial intelligence will likely further improve the understanding of sex differences in BC, which may ultimately lead to personalized preventative and treatment strategies depending on the biological sex of patients. This review delves into the impacts of biology of sex on BC, emphasizing the importance of further research into sex-specific biology to improve cancer prevention and care. , \nMale sex constitutes the most significant independent risk factor for bladder cancer.Sex as a biological variable consists of canonical (i.e., sex chromosomes and sex hormones) and non-canonical (e.g., epigenome, immunity, microbiota and metabolism) sex-biasing factors.Precision medicine must integrate sex-dependent differences to improve diagnosis, treatment, and outcomes.\n, Cancer strikes everyone but the odds differ among individuals. For reasons that are only partially understood, men are much more likely than women to develop cancers. For instance, BC is four times more frequent in males than in females. The purpose of this article is to review recent advancement how biology of sex impacts cancers, focusing on BC. The article reviews the roles of canonical or known sex-biasing factors including male- and female-specific reproductive hormones and chromosomes, as well as emerging non-canonical sex-biasing factors such as immunity, metabolism, and commensal bacteria. We argue that a better understanding of these sex-biasing factors is needed to catalyze development of tailored strategies for men and women to improve cancer prevention, diagnosis, and therapy.","container-title":"Biology of Sex Differences","DOI":"10.1186/s13293-025-00715-6","ISSN":"2042-6410","journalAbbreviation":"Biol Sex Differ","page":"31","PMID":"40361239","PMCID":"PMC12070554","source":"PubMed Central","title":"Sex differences in bladder cancer: understanding biological and clinical implications","title-short":"Sex differences in bladder cancer","volume":"16","author":[{"family":"Chaudhary","given":"Prakash"},{"family":"Singha","given":"Biplab"},{"family":"Abdel-Hafiz","given":"Hany A."},{"family":"Velegraki","given":"Maria"},{"family":"Sundi","given":"Debasish"},{"family":"Satturwar","given":"Swati"},{"family":"Parwani","given":"Anil V."},{"family":"Grivennikov","given":"Sergei I."},{"family":"You","given":"Sungyong"},{"family":"Goodridge","given":"Helen S."},{"family":"Ma","given":"Qin"},{"family":"Chang","given":"Yuzhou"},{"family":"Ma","given":"Anjun"},{"family":"Zheng","given":"Bin"},{"family":"Theodorescu","given":"Dan"},{"family":"Li","given":"Zihai"},{"family":"Li","given":"Xue"}],"issued":{"date-parts":[["2025",5,13]]}}},{"id":5892,"uris":["http://zotero.org/users/13045277/items/WJVFKXUD"],"itemData":{"id":5892,"type":"article-journal","abstract":"Background\nCigarette smoking is a major contributor to the global burden of bladder cancer. Its carcinogenic effects result from the harmful substances in tobacco smoke, which induce genetic mutations and disrupt cellular processes. Understanding how smoking contributes to bladder cancer is essential for developing effective prevention and treatment strategies.\n\nObjective\nThis study systematically reviews global research on the relationship between smoking and bladder cancer through bibliometric analysis, identifying research hotspots, trends and future directions.\n\nMethods\nRelevant literature on the relationship between cigarette smoking and bladder cancer published between 1999 and 2023 was retrieved from the Web of Science database. Visual analyses were conducted using VOSviewer and CiteSpace software, focusing on contributions from countries, institutions, journals, authors and keywords.\n\nResults\nOur analysis of 2,802 publications revealed an upward trend in annual output on the relationship between smoking and bladder cancer, with the United States and China as leading contributors. Notable institutions included the NIH, National Cancer Institute, University of Texas System and the International Agency for Research on Cancer. Key journals were Cancer Epidemiology, Biomarkers &amp; Prevention and International Journal of Cancer. Rothman, Nathaniel and Zeegers, M.P.A. were the most productive and co-cited authors. Keyword analysis highlighted DNA repair, genome-wide association studies, and smoking cessation.\n\nConclusion\nThis bibliometric analysis has significantly advanced the field by highlighting current research directions and the application of specific mechanisms. These findings also have implications for clinical practice and public health policy, potentially improving patient outcomes through a comprehensive understanding of disease pathogenesis.","container-title":"Substance Abuse Treatment, Prevention, and Policy","DOI":"10.1186/s13011-025-00658-6","ISSN":"1747-597X","journalAbbreviation":"Subst Abuse Treat Prev Policy","page":"25","PMID":"40517257","PMCID":"PMC12167575","source":"PubMed Central","title":"Smoking and bladder cancer: insights into pathogenesis and public health implications from a bibliometric analysis (1999–2023)","title-short":"Smoking and bladder cancer","volume":"20","author":[{"family":"Wang","given":"Yang"},{"family":"Zhou","given":"Hancheng"},{"family":"Tang","given":"Zhicheng"},{"family":"He","given":"Zhaohui"},{"family":"Zhuo","given":"Hui"},{"family":"Huang","given":"Yi"},{"family":"Kong","given":"Jianqiu"}],"issued":{"date-parts":[["2025",6,14]]}}}],"schema":"https://github.com/citation-style-language/schema/raw/master/csl-citation.json"} </w:instrText>
      </w:r>
      <w:r w:rsidR="00AE67C3">
        <w:rPr>
          <w:rFonts w:ascii="Times New Roman" w:hAnsi="Times New Roman" w:cs="Times New Roman"/>
        </w:rPr>
        <w:fldChar w:fldCharType="separate"/>
      </w:r>
      <w:r w:rsidR="00E434AF" w:rsidRPr="00E434AF">
        <w:rPr>
          <w:rFonts w:ascii="Times New Roman" w:hAnsi="Times New Roman" w:cs="Times New Roman"/>
          <w:kern w:val="0"/>
          <w:vertAlign w:val="superscript"/>
          <w:lang w:val="en-US"/>
        </w:rPr>
        <w:t>1–3</w:t>
      </w:r>
      <w:r w:rsidR="00AE67C3">
        <w:rPr>
          <w:rFonts w:ascii="Times New Roman" w:hAnsi="Times New Roman" w:cs="Times New Roman"/>
        </w:rPr>
        <w:fldChar w:fldCharType="end"/>
      </w:r>
      <w:r w:rsidR="00716000">
        <w:rPr>
          <w:rFonts w:ascii="Times New Roman" w:hAnsi="Times New Roman" w:cs="Times New Roman"/>
        </w:rPr>
        <w:t>.</w:t>
      </w:r>
      <w:r w:rsidR="00AE67C3">
        <w:rPr>
          <w:rFonts w:ascii="Times New Roman" w:hAnsi="Times New Roman" w:cs="Times New Roman"/>
        </w:rPr>
        <w:t xml:space="preserve"> Similarly,</w:t>
      </w:r>
      <w:r w:rsidR="00716000">
        <w:rPr>
          <w:rFonts w:ascii="Times New Roman" w:hAnsi="Times New Roman" w:cs="Times New Roman"/>
        </w:rPr>
        <w:t xml:space="preserve"> tumor size, concomitant status</w:t>
      </w:r>
      <w:r w:rsidR="00E434AF">
        <w:rPr>
          <w:rFonts w:ascii="Times New Roman" w:hAnsi="Times New Roman" w:cs="Times New Roman"/>
        </w:rPr>
        <w:t>,</w:t>
      </w:r>
      <w:r w:rsidR="00716000">
        <w:rPr>
          <w:rFonts w:ascii="Times New Roman" w:hAnsi="Times New Roman" w:cs="Times New Roman"/>
        </w:rPr>
        <w:t xml:space="preserve"> and incident tumor </w:t>
      </w:r>
      <w:r w:rsidR="00E434AF">
        <w:rPr>
          <w:rFonts w:ascii="Times New Roman" w:hAnsi="Times New Roman" w:cs="Times New Roman"/>
        </w:rPr>
        <w:t>status</w:t>
      </w:r>
      <w:r w:rsidR="00716000">
        <w:rPr>
          <w:rFonts w:ascii="Times New Roman" w:hAnsi="Times New Roman" w:cs="Times New Roman"/>
        </w:rPr>
        <w:t xml:space="preserve"> may provide information about current growth.</w:t>
      </w:r>
      <w:r w:rsidR="001E4D38">
        <w:rPr>
          <w:rFonts w:ascii="Times New Roman" w:hAnsi="Times New Roman" w:cs="Times New Roman"/>
        </w:rPr>
        <w:t xml:space="preserve"> </w:t>
      </w:r>
      <w:r w:rsidR="00E434AF">
        <w:rPr>
          <w:rFonts w:ascii="Times New Roman" w:hAnsi="Times New Roman" w:cs="Times New Roman"/>
        </w:rPr>
        <w:t>T</w:t>
      </w:r>
      <w:r w:rsidR="00E434AF">
        <w:rPr>
          <w:rFonts w:ascii="Times New Roman" w:hAnsi="Times New Roman" w:cs="Times New Roman"/>
        </w:rPr>
        <w:t xml:space="preserve">umor stage and grade were </w:t>
      </w:r>
      <w:r w:rsidR="00E434AF">
        <w:rPr>
          <w:rFonts w:ascii="Times New Roman" w:hAnsi="Times New Roman" w:cs="Times New Roman"/>
        </w:rPr>
        <w:t>not considered</w:t>
      </w:r>
      <w:r w:rsidR="00E434AF">
        <w:rPr>
          <w:rFonts w:ascii="Times New Roman" w:hAnsi="Times New Roman" w:cs="Times New Roman"/>
        </w:rPr>
        <w:t xml:space="preserve"> as there was no variation within the training dataset.</w:t>
      </w:r>
      <w:r w:rsidR="00E434AF">
        <w:rPr>
          <w:rFonts w:ascii="Times New Roman" w:hAnsi="Times New Roman" w:cs="Times New Roman"/>
        </w:rPr>
        <w:t xml:space="preserve"> </w:t>
      </w:r>
      <w:r w:rsidR="001E4D38">
        <w:rPr>
          <w:rFonts w:ascii="Times New Roman" w:hAnsi="Times New Roman" w:cs="Times New Roman"/>
        </w:rPr>
        <w:t xml:space="preserve">For prediction and utility purposes, </w:t>
      </w:r>
      <w:r w:rsidR="00D65EA8">
        <w:rPr>
          <w:rFonts w:ascii="Times New Roman" w:hAnsi="Times New Roman" w:cs="Times New Roman"/>
        </w:rPr>
        <w:t>Bacillus Calmette-Guerin (</w:t>
      </w:r>
      <w:r w:rsidR="001E4D38">
        <w:rPr>
          <w:rFonts w:ascii="Times New Roman" w:hAnsi="Times New Roman" w:cs="Times New Roman"/>
        </w:rPr>
        <w:t>BCG</w:t>
      </w:r>
      <w:r w:rsidR="00D65EA8">
        <w:rPr>
          <w:rFonts w:ascii="Times New Roman" w:hAnsi="Times New Roman" w:cs="Times New Roman"/>
        </w:rPr>
        <w:t>)</w:t>
      </w:r>
      <w:r w:rsidR="001E4D38">
        <w:rPr>
          <w:rFonts w:ascii="Times New Roman" w:hAnsi="Times New Roman" w:cs="Times New Roman"/>
        </w:rPr>
        <w:t xml:space="preserve"> </w:t>
      </w:r>
      <w:r w:rsidR="00D65EA8">
        <w:rPr>
          <w:rFonts w:ascii="Times New Roman" w:hAnsi="Times New Roman" w:cs="Times New Roman"/>
        </w:rPr>
        <w:t xml:space="preserve">treatment </w:t>
      </w:r>
      <w:r w:rsidR="00E434AF">
        <w:rPr>
          <w:rFonts w:ascii="Times New Roman" w:hAnsi="Times New Roman" w:cs="Times New Roman"/>
        </w:rPr>
        <w:t xml:space="preserve">status </w:t>
      </w:r>
      <w:r w:rsidR="001E4D38">
        <w:rPr>
          <w:rFonts w:ascii="Times New Roman" w:hAnsi="Times New Roman" w:cs="Times New Roman"/>
        </w:rPr>
        <w:t xml:space="preserve">was also included. </w:t>
      </w:r>
    </w:p>
    <w:p w14:paraId="03673C84" w14:textId="77777777" w:rsidR="001B21B2" w:rsidRDefault="001B21B2">
      <w:pPr>
        <w:rPr>
          <w:rFonts w:ascii="Times New Roman" w:hAnsi="Times New Roman" w:cs="Times New Roman"/>
        </w:rPr>
      </w:pPr>
    </w:p>
    <w:p w14:paraId="7AD1FD6C" w14:textId="76CD48B4" w:rsidR="008C1575" w:rsidRDefault="008C1575">
      <w:pPr>
        <w:rPr>
          <w:rFonts w:ascii="Times New Roman" w:hAnsi="Times New Roman" w:cs="Times New Roman"/>
          <w:b/>
          <w:bCs/>
        </w:rPr>
      </w:pPr>
      <w:r w:rsidRPr="008C1575">
        <w:rPr>
          <w:rFonts w:ascii="Times New Roman" w:hAnsi="Times New Roman" w:cs="Times New Roman"/>
          <w:b/>
          <w:bCs/>
        </w:rPr>
        <w:t>Model</w:t>
      </w:r>
    </w:p>
    <w:p w14:paraId="68F962B2" w14:textId="4BE2722F" w:rsidR="00693563" w:rsidRDefault="001B21B2" w:rsidP="001B7334">
      <w:pPr>
        <w:rPr>
          <w:rFonts w:ascii="Times New Roman" w:hAnsi="Times New Roman" w:cs="Times New Roman"/>
        </w:rPr>
      </w:pPr>
      <w:r w:rsidRPr="001B21B2">
        <w:rPr>
          <w:rFonts w:ascii="Times New Roman" w:hAnsi="Times New Roman" w:cs="Times New Roman"/>
        </w:rPr>
        <w:t>The final model employs a Support Vector Machine (SVM) classifier with a polynomial kernel to capture non-linear relationships among features. To ensure compatibility with the microarray data, all genomic features were z-score normalized prior to training. The RNA-seq test dataset was normalized using the mean and standard deviation derived from the training set.</w:t>
      </w:r>
      <w:r>
        <w:rPr>
          <w:rFonts w:ascii="Times New Roman" w:hAnsi="Times New Roman" w:cs="Times New Roman"/>
        </w:rPr>
        <w:t xml:space="preserve"> </w:t>
      </w:r>
      <w:r w:rsidR="008C1575" w:rsidRPr="001B21B2">
        <w:rPr>
          <w:rFonts w:ascii="Times New Roman" w:hAnsi="Times New Roman" w:cs="Times New Roman"/>
        </w:rPr>
        <w:t xml:space="preserve">The microarray data was assumed to have a similar distribution </w:t>
      </w:r>
      <w:r w:rsidR="00B85583" w:rsidRPr="001B21B2">
        <w:rPr>
          <w:rFonts w:ascii="Times New Roman" w:hAnsi="Times New Roman" w:cs="Times New Roman"/>
        </w:rPr>
        <w:t>and</w:t>
      </w:r>
      <w:r w:rsidR="008C1575" w:rsidRPr="001B21B2">
        <w:rPr>
          <w:rFonts w:ascii="Times New Roman" w:hAnsi="Times New Roman" w:cs="Times New Roman"/>
        </w:rPr>
        <w:t xml:space="preserve"> was z-scored</w:t>
      </w:r>
      <w:r w:rsidR="008C1575">
        <w:rPr>
          <w:rFonts w:ascii="Times New Roman" w:hAnsi="Times New Roman" w:cs="Times New Roman"/>
        </w:rPr>
        <w:t xml:space="preserve"> independently. </w:t>
      </w:r>
    </w:p>
    <w:p w14:paraId="3DA685C3" w14:textId="77777777" w:rsidR="00693563" w:rsidRDefault="00693563" w:rsidP="001B7334">
      <w:pPr>
        <w:rPr>
          <w:rFonts w:ascii="Times New Roman" w:hAnsi="Times New Roman" w:cs="Times New Roman"/>
        </w:rPr>
      </w:pPr>
    </w:p>
    <w:p w14:paraId="0BC9B4AC" w14:textId="37D7EB96" w:rsidR="002566E8" w:rsidRPr="003F39CF" w:rsidRDefault="00E434AF" w:rsidP="002566E8">
      <w:pPr>
        <w:rPr>
          <w:rFonts w:ascii="Times New Roman" w:hAnsi="Times New Roman" w:cs="Times New Roman"/>
        </w:rPr>
      </w:pPr>
      <w:r>
        <w:rPr>
          <w:rFonts w:ascii="Times New Roman" w:hAnsi="Times New Roman" w:cs="Times New Roman"/>
        </w:rPr>
        <w:t xml:space="preserve">The </w:t>
      </w:r>
      <w:r w:rsidR="002566E8" w:rsidRPr="003F39CF">
        <w:rPr>
          <w:rFonts w:ascii="Times New Roman" w:hAnsi="Times New Roman" w:cs="Times New Roman"/>
        </w:rPr>
        <w:t xml:space="preserve">model </w:t>
      </w:r>
      <w:r>
        <w:rPr>
          <w:rFonts w:ascii="Times New Roman" w:hAnsi="Times New Roman" w:cs="Times New Roman"/>
        </w:rPr>
        <w:t xml:space="preserve">scores a high AUC score on </w:t>
      </w:r>
      <w:r w:rsidR="002566E8" w:rsidRPr="003F39CF">
        <w:rPr>
          <w:rFonts w:ascii="Times New Roman" w:hAnsi="Times New Roman" w:cs="Times New Roman"/>
        </w:rPr>
        <w:t xml:space="preserve">the training </w:t>
      </w:r>
      <w:proofErr w:type="gramStart"/>
      <w:r w:rsidR="002566E8" w:rsidRPr="003F39CF">
        <w:rPr>
          <w:rFonts w:ascii="Times New Roman" w:hAnsi="Times New Roman" w:cs="Times New Roman"/>
        </w:rPr>
        <w:t xml:space="preserve">data, </w:t>
      </w:r>
      <w:r>
        <w:rPr>
          <w:rFonts w:ascii="Times New Roman" w:hAnsi="Times New Roman" w:cs="Times New Roman"/>
        </w:rPr>
        <w:t>and</w:t>
      </w:r>
      <w:proofErr w:type="gramEnd"/>
      <w:r>
        <w:rPr>
          <w:rFonts w:ascii="Times New Roman" w:hAnsi="Times New Roman" w:cs="Times New Roman"/>
        </w:rPr>
        <w:t xml:space="preserve"> </w:t>
      </w:r>
      <w:r w:rsidR="002566E8" w:rsidRPr="003F39CF">
        <w:rPr>
          <w:rFonts w:ascii="Times New Roman" w:hAnsi="Times New Roman" w:cs="Times New Roman"/>
        </w:rPr>
        <w:t xml:space="preserve">maintains </w:t>
      </w:r>
      <w:r>
        <w:rPr>
          <w:rFonts w:ascii="Times New Roman" w:hAnsi="Times New Roman" w:cs="Times New Roman"/>
        </w:rPr>
        <w:t xml:space="preserve">a </w:t>
      </w:r>
      <w:r w:rsidR="002566E8" w:rsidRPr="003F39CF">
        <w:rPr>
          <w:rFonts w:ascii="Times New Roman" w:hAnsi="Times New Roman" w:cs="Times New Roman"/>
        </w:rPr>
        <w:t xml:space="preserve">reasonable </w:t>
      </w:r>
      <w:r>
        <w:rPr>
          <w:rFonts w:ascii="Times New Roman" w:hAnsi="Times New Roman" w:cs="Times New Roman"/>
        </w:rPr>
        <w:t>AUC score</w:t>
      </w:r>
      <w:r w:rsidR="002566E8" w:rsidRPr="003F39CF">
        <w:rPr>
          <w:rFonts w:ascii="Times New Roman" w:hAnsi="Times New Roman" w:cs="Times New Roman"/>
        </w:rPr>
        <w:t xml:space="preserve"> on the RNA-seq test set, suggesting the presence of a weak but detectable predictive signal</w:t>
      </w:r>
      <w:r>
        <w:rPr>
          <w:rFonts w:ascii="Times New Roman" w:hAnsi="Times New Roman" w:cs="Times New Roman"/>
        </w:rPr>
        <w:t xml:space="preserve"> despite overfitting</w:t>
      </w:r>
      <w:r w:rsidR="002566E8" w:rsidRPr="003F39CF">
        <w:rPr>
          <w:rFonts w:ascii="Times New Roman" w:hAnsi="Times New Roman" w:cs="Times New Roman"/>
        </w:rPr>
        <w:t xml:space="preserve"> (Table</w:t>
      </w:r>
      <w:r w:rsidR="002566E8">
        <w:rPr>
          <w:rFonts w:ascii="Times New Roman" w:hAnsi="Times New Roman" w:cs="Times New Roman"/>
        </w:rPr>
        <w:t xml:space="preserve"> 1</w:t>
      </w:r>
      <w:r w:rsidR="002566E8" w:rsidRPr="003F39CF">
        <w:rPr>
          <w:rFonts w:ascii="Times New Roman" w:hAnsi="Times New Roman" w:cs="Times New Roman"/>
        </w:rPr>
        <w:t xml:space="preserve">). In contrast, </w:t>
      </w:r>
      <w:r>
        <w:rPr>
          <w:rFonts w:ascii="Times New Roman" w:hAnsi="Times New Roman" w:cs="Times New Roman"/>
        </w:rPr>
        <w:t>AUC score</w:t>
      </w:r>
      <w:r w:rsidR="002566E8" w:rsidRPr="003F39CF">
        <w:rPr>
          <w:rFonts w:ascii="Times New Roman" w:hAnsi="Times New Roman" w:cs="Times New Roman"/>
        </w:rPr>
        <w:t xml:space="preserve"> on the microarray dataset is poor. </w:t>
      </w:r>
      <w:r>
        <w:rPr>
          <w:rFonts w:ascii="Times New Roman" w:hAnsi="Times New Roman" w:cs="Times New Roman"/>
        </w:rPr>
        <w:t xml:space="preserve">Notably, </w:t>
      </w:r>
      <w:r w:rsidR="002566E8" w:rsidRPr="003F39CF">
        <w:rPr>
          <w:rFonts w:ascii="Times New Roman" w:hAnsi="Times New Roman" w:cs="Times New Roman"/>
        </w:rPr>
        <w:t xml:space="preserve">Recall </w:t>
      </w:r>
      <w:r>
        <w:rPr>
          <w:rFonts w:ascii="Times New Roman" w:hAnsi="Times New Roman" w:cs="Times New Roman"/>
        </w:rPr>
        <w:t>significantly</w:t>
      </w:r>
      <w:r w:rsidR="002566E8" w:rsidRPr="003F39CF">
        <w:rPr>
          <w:rFonts w:ascii="Times New Roman" w:hAnsi="Times New Roman" w:cs="Times New Roman"/>
        </w:rPr>
        <w:t xml:space="preserve"> exceeds </w:t>
      </w:r>
      <w:r w:rsidR="00B80EC6">
        <w:rPr>
          <w:rFonts w:ascii="Times New Roman" w:hAnsi="Times New Roman" w:cs="Times New Roman"/>
        </w:rPr>
        <w:t>P</w:t>
      </w:r>
      <w:r w:rsidR="002566E8" w:rsidRPr="003F39CF">
        <w:rPr>
          <w:rFonts w:ascii="Times New Roman" w:hAnsi="Times New Roman" w:cs="Times New Roman"/>
        </w:rPr>
        <w:t xml:space="preserve">recision on the test </w:t>
      </w:r>
      <w:r>
        <w:rPr>
          <w:rFonts w:ascii="Times New Roman" w:hAnsi="Times New Roman" w:cs="Times New Roman"/>
        </w:rPr>
        <w:t>and microarray data</w:t>
      </w:r>
      <w:r w:rsidR="002566E8" w:rsidRPr="003F39CF">
        <w:rPr>
          <w:rFonts w:ascii="Times New Roman" w:hAnsi="Times New Roman" w:cs="Times New Roman"/>
        </w:rPr>
        <w:t>set</w:t>
      </w:r>
      <w:r>
        <w:rPr>
          <w:rFonts w:ascii="Times New Roman" w:hAnsi="Times New Roman" w:cs="Times New Roman"/>
        </w:rPr>
        <w:t>s</w:t>
      </w:r>
      <w:r w:rsidR="002566E8" w:rsidRPr="003F39CF">
        <w:rPr>
          <w:rFonts w:ascii="Times New Roman" w:hAnsi="Times New Roman" w:cs="Times New Roman"/>
        </w:rPr>
        <w:t>, indicating a tendency toward false-positive predictions, with low</w:t>
      </w:r>
      <w:r>
        <w:rPr>
          <w:rFonts w:ascii="Times New Roman" w:hAnsi="Times New Roman" w:cs="Times New Roman"/>
        </w:rPr>
        <w:t>-</w:t>
      </w:r>
      <w:r w:rsidR="002566E8" w:rsidRPr="003F39CF">
        <w:rPr>
          <w:rFonts w:ascii="Times New Roman" w:hAnsi="Times New Roman" w:cs="Times New Roman"/>
        </w:rPr>
        <w:t xml:space="preserve">risk samples </w:t>
      </w:r>
      <w:r>
        <w:rPr>
          <w:rFonts w:ascii="Times New Roman" w:hAnsi="Times New Roman" w:cs="Times New Roman"/>
        </w:rPr>
        <w:t xml:space="preserve">more </w:t>
      </w:r>
      <w:r w:rsidR="002566E8">
        <w:rPr>
          <w:rFonts w:ascii="Times New Roman" w:hAnsi="Times New Roman" w:cs="Times New Roman"/>
        </w:rPr>
        <w:t>likely to be</w:t>
      </w:r>
      <w:r w:rsidR="002566E8" w:rsidRPr="003F39CF">
        <w:rPr>
          <w:rFonts w:ascii="Times New Roman" w:hAnsi="Times New Roman" w:cs="Times New Roman"/>
        </w:rPr>
        <w:t xml:space="preserve"> </w:t>
      </w:r>
      <w:r>
        <w:rPr>
          <w:rFonts w:ascii="Times New Roman" w:hAnsi="Times New Roman" w:cs="Times New Roman"/>
        </w:rPr>
        <w:t>mis</w:t>
      </w:r>
      <w:r w:rsidR="002566E8" w:rsidRPr="003F39CF">
        <w:rPr>
          <w:rFonts w:ascii="Times New Roman" w:hAnsi="Times New Roman" w:cs="Times New Roman"/>
        </w:rPr>
        <w:t>classified as high</w:t>
      </w:r>
      <w:r>
        <w:rPr>
          <w:rFonts w:ascii="Times New Roman" w:hAnsi="Times New Roman" w:cs="Times New Roman"/>
        </w:rPr>
        <w:t>-</w:t>
      </w:r>
      <w:r w:rsidR="002566E8" w:rsidRPr="003F39CF">
        <w:rPr>
          <w:rFonts w:ascii="Times New Roman" w:hAnsi="Times New Roman" w:cs="Times New Roman"/>
        </w:rPr>
        <w:t xml:space="preserve">risk. Survival analysis of the predicted risk groups reveals a </w:t>
      </w:r>
      <w:r w:rsidR="002566E8">
        <w:rPr>
          <w:rFonts w:ascii="Times New Roman" w:hAnsi="Times New Roman" w:cs="Times New Roman"/>
        </w:rPr>
        <w:t xml:space="preserve">large difference </w:t>
      </w:r>
      <w:r w:rsidR="002566E8" w:rsidRPr="003F39CF">
        <w:rPr>
          <w:rFonts w:ascii="Times New Roman" w:hAnsi="Times New Roman" w:cs="Times New Roman"/>
        </w:rPr>
        <w:t xml:space="preserve">in survival time </w:t>
      </w:r>
      <w:r w:rsidR="00693563">
        <w:rPr>
          <w:rFonts w:ascii="Times New Roman" w:hAnsi="Times New Roman" w:cs="Times New Roman"/>
        </w:rPr>
        <w:t xml:space="preserve">before 36 months </w:t>
      </w:r>
      <w:r w:rsidR="002566E8">
        <w:rPr>
          <w:rFonts w:ascii="Times New Roman" w:hAnsi="Times New Roman" w:cs="Times New Roman"/>
        </w:rPr>
        <w:t xml:space="preserve">for the </w:t>
      </w:r>
      <w:r w:rsidR="002566E8" w:rsidRPr="003F39CF">
        <w:rPr>
          <w:rFonts w:ascii="Times New Roman" w:hAnsi="Times New Roman" w:cs="Times New Roman"/>
        </w:rPr>
        <w:t xml:space="preserve">training set and a </w:t>
      </w:r>
      <w:r w:rsidR="002566E8">
        <w:rPr>
          <w:rFonts w:ascii="Times New Roman" w:hAnsi="Times New Roman" w:cs="Times New Roman"/>
        </w:rPr>
        <w:t xml:space="preserve">smaller, but still significant </w:t>
      </w:r>
      <w:r w:rsidR="002566E8" w:rsidRPr="003F39CF">
        <w:rPr>
          <w:rFonts w:ascii="Times New Roman" w:hAnsi="Times New Roman" w:cs="Times New Roman"/>
        </w:rPr>
        <w:t xml:space="preserve">difference in the test set (Figure 1). However, the model </w:t>
      </w:r>
      <w:r>
        <w:rPr>
          <w:rFonts w:ascii="Times New Roman" w:hAnsi="Times New Roman" w:cs="Times New Roman"/>
        </w:rPr>
        <w:t>has</w:t>
      </w:r>
      <w:r w:rsidR="002566E8" w:rsidRPr="003F39CF">
        <w:rPr>
          <w:rFonts w:ascii="Times New Roman" w:hAnsi="Times New Roman" w:cs="Times New Roman"/>
        </w:rPr>
        <w:t xml:space="preserve"> no</w:t>
      </w:r>
      <w:r>
        <w:rPr>
          <w:rFonts w:ascii="Times New Roman" w:hAnsi="Times New Roman" w:cs="Times New Roman"/>
        </w:rPr>
        <w:t xml:space="preserve"> prognostic value on</w:t>
      </w:r>
      <w:r w:rsidR="002566E8" w:rsidRPr="003F39CF">
        <w:rPr>
          <w:rFonts w:ascii="Times New Roman" w:hAnsi="Times New Roman" w:cs="Times New Roman"/>
        </w:rPr>
        <w:t xml:space="preserve"> the microarray data, as the predicted classes show minimal separation in survival outcomes.</w:t>
      </w:r>
    </w:p>
    <w:p w14:paraId="15EB4EDD" w14:textId="77777777" w:rsidR="001B21B2" w:rsidRPr="001B7334" w:rsidRDefault="001B21B2" w:rsidP="001B7334">
      <w:pPr>
        <w:rPr>
          <w:rFonts w:ascii="Times New Roman" w:hAnsi="Times New Roman" w:cs="Times New Roman"/>
          <w:b/>
          <w:b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B7334" w14:paraId="7ACEEF6E" w14:textId="77777777" w:rsidTr="00332FAC">
        <w:tc>
          <w:tcPr>
            <w:tcW w:w="1558" w:type="dxa"/>
            <w:shd w:val="clear" w:color="auto" w:fill="000000" w:themeFill="text1"/>
          </w:tcPr>
          <w:p w14:paraId="17D45597" w14:textId="77777777" w:rsidR="001B7334" w:rsidRPr="001B7334" w:rsidRDefault="001B7334" w:rsidP="00753602">
            <w:pPr>
              <w:rPr>
                <w:rFonts w:ascii="Times New Roman" w:hAnsi="Times New Roman" w:cs="Times New Roman"/>
                <w:b/>
                <w:bCs/>
              </w:rPr>
            </w:pPr>
          </w:p>
        </w:tc>
        <w:tc>
          <w:tcPr>
            <w:tcW w:w="1558" w:type="dxa"/>
          </w:tcPr>
          <w:p w14:paraId="47E42FF0" w14:textId="45E946E4" w:rsidR="001B7334" w:rsidRPr="001B7334" w:rsidRDefault="001B7334" w:rsidP="00332FAC">
            <w:pPr>
              <w:jc w:val="center"/>
              <w:rPr>
                <w:rFonts w:ascii="Times New Roman" w:hAnsi="Times New Roman" w:cs="Times New Roman"/>
                <w:b/>
                <w:bCs/>
              </w:rPr>
            </w:pPr>
            <w:r w:rsidRPr="001B7334">
              <w:rPr>
                <w:rFonts w:ascii="Times New Roman" w:hAnsi="Times New Roman" w:cs="Times New Roman"/>
                <w:b/>
                <w:bCs/>
              </w:rPr>
              <w:t>Accuracy</w:t>
            </w:r>
          </w:p>
        </w:tc>
        <w:tc>
          <w:tcPr>
            <w:tcW w:w="1558" w:type="dxa"/>
          </w:tcPr>
          <w:p w14:paraId="180FD8DD" w14:textId="70233142" w:rsidR="001B7334" w:rsidRPr="001B7334" w:rsidRDefault="001B7334" w:rsidP="00332FAC">
            <w:pPr>
              <w:jc w:val="center"/>
              <w:rPr>
                <w:rFonts w:ascii="Times New Roman" w:hAnsi="Times New Roman" w:cs="Times New Roman"/>
                <w:b/>
                <w:bCs/>
              </w:rPr>
            </w:pPr>
            <w:r w:rsidRPr="001B7334">
              <w:rPr>
                <w:rFonts w:ascii="Times New Roman" w:hAnsi="Times New Roman" w:cs="Times New Roman"/>
                <w:b/>
                <w:bCs/>
              </w:rPr>
              <w:t>Precision</w:t>
            </w:r>
          </w:p>
        </w:tc>
        <w:tc>
          <w:tcPr>
            <w:tcW w:w="1558" w:type="dxa"/>
          </w:tcPr>
          <w:p w14:paraId="32FF657C" w14:textId="561E0AAB" w:rsidR="001B7334" w:rsidRPr="001B7334" w:rsidRDefault="001B7334" w:rsidP="00332FAC">
            <w:pPr>
              <w:jc w:val="center"/>
              <w:rPr>
                <w:rFonts w:ascii="Times New Roman" w:hAnsi="Times New Roman" w:cs="Times New Roman"/>
                <w:b/>
                <w:bCs/>
              </w:rPr>
            </w:pPr>
            <w:r w:rsidRPr="001B7334">
              <w:rPr>
                <w:rFonts w:ascii="Times New Roman" w:hAnsi="Times New Roman" w:cs="Times New Roman"/>
                <w:b/>
                <w:bCs/>
              </w:rPr>
              <w:t>Recall</w:t>
            </w:r>
          </w:p>
        </w:tc>
        <w:tc>
          <w:tcPr>
            <w:tcW w:w="1559" w:type="dxa"/>
          </w:tcPr>
          <w:p w14:paraId="0AE51FAA" w14:textId="6E252907" w:rsidR="001B7334" w:rsidRPr="001B7334" w:rsidRDefault="001B7334" w:rsidP="00332FAC">
            <w:pPr>
              <w:jc w:val="center"/>
              <w:rPr>
                <w:rFonts w:ascii="Times New Roman" w:hAnsi="Times New Roman" w:cs="Times New Roman"/>
                <w:b/>
                <w:bCs/>
              </w:rPr>
            </w:pPr>
            <w:r w:rsidRPr="001B7334">
              <w:rPr>
                <w:rFonts w:ascii="Times New Roman" w:hAnsi="Times New Roman" w:cs="Times New Roman"/>
                <w:b/>
                <w:bCs/>
              </w:rPr>
              <w:t>F1</w:t>
            </w:r>
          </w:p>
        </w:tc>
        <w:tc>
          <w:tcPr>
            <w:tcW w:w="1559" w:type="dxa"/>
          </w:tcPr>
          <w:p w14:paraId="12FC7987" w14:textId="714F9A2B" w:rsidR="001B7334" w:rsidRPr="001B7334" w:rsidRDefault="001B7334" w:rsidP="00332FAC">
            <w:pPr>
              <w:jc w:val="center"/>
              <w:rPr>
                <w:rFonts w:ascii="Times New Roman" w:hAnsi="Times New Roman" w:cs="Times New Roman"/>
                <w:b/>
                <w:bCs/>
              </w:rPr>
            </w:pPr>
            <w:r w:rsidRPr="001B7334">
              <w:rPr>
                <w:rFonts w:ascii="Times New Roman" w:hAnsi="Times New Roman" w:cs="Times New Roman"/>
                <w:b/>
                <w:bCs/>
              </w:rPr>
              <w:t>AUC</w:t>
            </w:r>
          </w:p>
        </w:tc>
      </w:tr>
      <w:tr w:rsidR="001B7334" w14:paraId="4262635D" w14:textId="77777777" w:rsidTr="00332FAC">
        <w:tc>
          <w:tcPr>
            <w:tcW w:w="1558" w:type="dxa"/>
            <w:vAlign w:val="center"/>
          </w:tcPr>
          <w:p w14:paraId="27E825A0" w14:textId="77777777" w:rsidR="001B7334" w:rsidRPr="001B7334" w:rsidRDefault="001B7334" w:rsidP="001B7334">
            <w:pPr>
              <w:jc w:val="center"/>
              <w:rPr>
                <w:rFonts w:ascii="Times New Roman" w:hAnsi="Times New Roman" w:cs="Times New Roman"/>
                <w:b/>
                <w:bCs/>
              </w:rPr>
            </w:pPr>
            <w:r w:rsidRPr="001B7334">
              <w:rPr>
                <w:rFonts w:ascii="Times New Roman" w:hAnsi="Times New Roman" w:cs="Times New Roman"/>
                <w:b/>
                <w:bCs/>
              </w:rPr>
              <w:t>Training</w:t>
            </w:r>
          </w:p>
          <w:p w14:paraId="6FC4426C" w14:textId="4A880EA2" w:rsidR="001B7334" w:rsidRPr="001B7334" w:rsidRDefault="001B7334" w:rsidP="001B7334">
            <w:pPr>
              <w:jc w:val="center"/>
              <w:rPr>
                <w:rFonts w:ascii="Times New Roman" w:hAnsi="Times New Roman" w:cs="Times New Roman"/>
                <w:b/>
                <w:bCs/>
              </w:rPr>
            </w:pPr>
            <w:r w:rsidRPr="001B7334">
              <w:rPr>
                <w:rFonts w:ascii="Times New Roman" w:hAnsi="Times New Roman" w:cs="Times New Roman"/>
                <w:b/>
                <w:bCs/>
              </w:rPr>
              <w:t>(RNA</w:t>
            </w:r>
            <w:r>
              <w:rPr>
                <w:rFonts w:ascii="Times New Roman" w:hAnsi="Times New Roman" w:cs="Times New Roman"/>
                <w:b/>
                <w:bCs/>
              </w:rPr>
              <w:t>-seq</w:t>
            </w:r>
            <w:r w:rsidRPr="001B7334">
              <w:rPr>
                <w:rFonts w:ascii="Times New Roman" w:hAnsi="Times New Roman" w:cs="Times New Roman"/>
                <w:b/>
                <w:bCs/>
              </w:rPr>
              <w:t>)</w:t>
            </w:r>
          </w:p>
        </w:tc>
        <w:tc>
          <w:tcPr>
            <w:tcW w:w="1558" w:type="dxa"/>
            <w:vAlign w:val="center"/>
          </w:tcPr>
          <w:p w14:paraId="573525FD" w14:textId="3650C1F2" w:rsidR="001B7334" w:rsidRDefault="00D32768" w:rsidP="001B7334">
            <w:pPr>
              <w:jc w:val="center"/>
              <w:rPr>
                <w:rFonts w:ascii="Times New Roman" w:hAnsi="Times New Roman" w:cs="Times New Roman"/>
              </w:rPr>
            </w:pPr>
            <w:r w:rsidRPr="00D32768">
              <w:rPr>
                <w:rFonts w:ascii="Times New Roman" w:hAnsi="Times New Roman" w:cs="Times New Roman"/>
              </w:rPr>
              <w:t>0.857</w:t>
            </w:r>
          </w:p>
        </w:tc>
        <w:tc>
          <w:tcPr>
            <w:tcW w:w="1558" w:type="dxa"/>
            <w:vAlign w:val="center"/>
          </w:tcPr>
          <w:p w14:paraId="2CFF4562" w14:textId="29B484F1" w:rsidR="001B7334" w:rsidRDefault="00D32768" w:rsidP="001B7334">
            <w:pPr>
              <w:jc w:val="center"/>
              <w:rPr>
                <w:rFonts w:ascii="Times New Roman" w:hAnsi="Times New Roman" w:cs="Times New Roman"/>
              </w:rPr>
            </w:pPr>
            <w:r w:rsidRPr="00D32768">
              <w:rPr>
                <w:rFonts w:ascii="Times New Roman" w:hAnsi="Times New Roman" w:cs="Times New Roman"/>
              </w:rPr>
              <w:t>0.881</w:t>
            </w:r>
          </w:p>
        </w:tc>
        <w:tc>
          <w:tcPr>
            <w:tcW w:w="1558" w:type="dxa"/>
            <w:vAlign w:val="center"/>
          </w:tcPr>
          <w:p w14:paraId="58159EB6" w14:textId="490FCE2E" w:rsidR="001B7334" w:rsidRDefault="001B7334" w:rsidP="001B7334">
            <w:pPr>
              <w:jc w:val="center"/>
              <w:rPr>
                <w:rFonts w:ascii="Times New Roman" w:hAnsi="Times New Roman" w:cs="Times New Roman"/>
              </w:rPr>
            </w:pPr>
            <w:r w:rsidRPr="001B7334">
              <w:rPr>
                <w:rFonts w:ascii="Times New Roman" w:hAnsi="Times New Roman" w:cs="Times New Roman"/>
              </w:rPr>
              <w:t>0.</w:t>
            </w:r>
            <w:r w:rsidR="00D32768" w:rsidRPr="00D32768">
              <w:rPr>
                <w:rFonts w:ascii="Times New Roman" w:hAnsi="Times New Roman" w:cs="Times New Roman"/>
              </w:rPr>
              <w:t>87</w:t>
            </w:r>
            <w:r w:rsidR="00711793">
              <w:rPr>
                <w:rFonts w:ascii="Times New Roman" w:hAnsi="Times New Roman" w:cs="Times New Roman"/>
              </w:rPr>
              <w:t>4</w:t>
            </w:r>
          </w:p>
        </w:tc>
        <w:tc>
          <w:tcPr>
            <w:tcW w:w="1559" w:type="dxa"/>
            <w:vAlign w:val="center"/>
          </w:tcPr>
          <w:p w14:paraId="50768B5A" w14:textId="18AAA649" w:rsidR="001B7334" w:rsidRDefault="001B7334" w:rsidP="001B7334">
            <w:pPr>
              <w:jc w:val="center"/>
              <w:rPr>
                <w:rFonts w:ascii="Times New Roman" w:hAnsi="Times New Roman" w:cs="Times New Roman"/>
              </w:rPr>
            </w:pPr>
            <w:r w:rsidRPr="001B7334">
              <w:rPr>
                <w:rFonts w:ascii="Times New Roman" w:hAnsi="Times New Roman" w:cs="Times New Roman"/>
              </w:rPr>
              <w:t>0.</w:t>
            </w:r>
            <w:r w:rsidR="00D32768" w:rsidRPr="00D32768">
              <w:rPr>
                <w:rFonts w:ascii="Times New Roman" w:hAnsi="Times New Roman" w:cs="Times New Roman"/>
              </w:rPr>
              <w:t>87</w:t>
            </w:r>
            <w:r w:rsidR="00711793">
              <w:rPr>
                <w:rFonts w:ascii="Times New Roman" w:hAnsi="Times New Roman" w:cs="Times New Roman"/>
              </w:rPr>
              <w:t>8</w:t>
            </w:r>
          </w:p>
        </w:tc>
        <w:tc>
          <w:tcPr>
            <w:tcW w:w="1559" w:type="dxa"/>
            <w:vAlign w:val="center"/>
          </w:tcPr>
          <w:p w14:paraId="6ECCD05D" w14:textId="4E9A0CBF" w:rsidR="001B7334" w:rsidRDefault="00332FAC" w:rsidP="00332FAC">
            <w:pPr>
              <w:jc w:val="center"/>
              <w:rPr>
                <w:rFonts w:ascii="Times New Roman" w:hAnsi="Times New Roman" w:cs="Times New Roman"/>
              </w:rPr>
            </w:pPr>
            <w:r w:rsidRPr="00332FAC">
              <w:rPr>
                <w:rFonts w:ascii="Times New Roman" w:hAnsi="Times New Roman" w:cs="Times New Roman"/>
              </w:rPr>
              <w:t>0.</w:t>
            </w:r>
            <w:r w:rsidR="00D32768" w:rsidRPr="00D32768">
              <w:rPr>
                <w:rFonts w:ascii="Times New Roman" w:hAnsi="Times New Roman" w:cs="Times New Roman"/>
              </w:rPr>
              <w:t>92</w:t>
            </w:r>
            <w:r w:rsidR="00D32768">
              <w:rPr>
                <w:rFonts w:ascii="Times New Roman" w:hAnsi="Times New Roman" w:cs="Times New Roman"/>
              </w:rPr>
              <w:t>9</w:t>
            </w:r>
          </w:p>
        </w:tc>
      </w:tr>
      <w:tr w:rsidR="001B7334" w14:paraId="2EB477B1" w14:textId="77777777" w:rsidTr="00332FAC">
        <w:tc>
          <w:tcPr>
            <w:tcW w:w="1558" w:type="dxa"/>
            <w:vAlign w:val="center"/>
          </w:tcPr>
          <w:p w14:paraId="538AD00F" w14:textId="6D9C2D50" w:rsidR="001B7334" w:rsidRPr="001B7334" w:rsidRDefault="001B7334" w:rsidP="001B7334">
            <w:pPr>
              <w:jc w:val="center"/>
              <w:rPr>
                <w:rFonts w:ascii="Times New Roman" w:hAnsi="Times New Roman" w:cs="Times New Roman"/>
                <w:b/>
                <w:bCs/>
              </w:rPr>
            </w:pPr>
            <w:r w:rsidRPr="001B7334">
              <w:rPr>
                <w:rFonts w:ascii="Times New Roman" w:hAnsi="Times New Roman" w:cs="Times New Roman"/>
                <w:b/>
                <w:bCs/>
              </w:rPr>
              <w:t>Testing (RNA</w:t>
            </w:r>
            <w:r>
              <w:rPr>
                <w:rFonts w:ascii="Times New Roman" w:hAnsi="Times New Roman" w:cs="Times New Roman"/>
                <w:b/>
                <w:bCs/>
              </w:rPr>
              <w:t>-seq</w:t>
            </w:r>
            <w:r w:rsidRPr="001B7334">
              <w:rPr>
                <w:rFonts w:ascii="Times New Roman" w:hAnsi="Times New Roman" w:cs="Times New Roman"/>
                <w:b/>
                <w:bCs/>
              </w:rPr>
              <w:t>)</w:t>
            </w:r>
          </w:p>
        </w:tc>
        <w:tc>
          <w:tcPr>
            <w:tcW w:w="1558" w:type="dxa"/>
            <w:vAlign w:val="center"/>
          </w:tcPr>
          <w:p w14:paraId="0F5CB129" w14:textId="059A0699" w:rsidR="001B7334" w:rsidRDefault="001B7334" w:rsidP="001B7334">
            <w:pPr>
              <w:jc w:val="center"/>
              <w:rPr>
                <w:rFonts w:ascii="Times New Roman" w:hAnsi="Times New Roman" w:cs="Times New Roman"/>
              </w:rPr>
            </w:pPr>
            <w:r w:rsidRPr="001B7334">
              <w:rPr>
                <w:rFonts w:ascii="Times New Roman" w:hAnsi="Times New Roman" w:cs="Times New Roman"/>
              </w:rPr>
              <w:t>0.</w:t>
            </w:r>
            <w:r w:rsidR="00D32768" w:rsidRPr="00D32768">
              <w:rPr>
                <w:rFonts w:ascii="Times New Roman" w:hAnsi="Times New Roman" w:cs="Times New Roman"/>
              </w:rPr>
              <w:t>616</w:t>
            </w:r>
          </w:p>
        </w:tc>
        <w:tc>
          <w:tcPr>
            <w:tcW w:w="1558" w:type="dxa"/>
            <w:vAlign w:val="center"/>
          </w:tcPr>
          <w:p w14:paraId="72051FF9" w14:textId="069E35E0" w:rsidR="001B7334" w:rsidRDefault="001B7334" w:rsidP="001B7334">
            <w:pPr>
              <w:jc w:val="center"/>
              <w:rPr>
                <w:rFonts w:ascii="Times New Roman" w:hAnsi="Times New Roman" w:cs="Times New Roman"/>
              </w:rPr>
            </w:pPr>
            <w:r w:rsidRPr="001B7334">
              <w:rPr>
                <w:rFonts w:ascii="Times New Roman" w:hAnsi="Times New Roman" w:cs="Times New Roman"/>
              </w:rPr>
              <w:t>0.</w:t>
            </w:r>
            <w:r w:rsidR="00D32768">
              <w:rPr>
                <w:rFonts w:ascii="Times New Roman" w:hAnsi="Times New Roman" w:cs="Times New Roman"/>
              </w:rPr>
              <w:t>66</w:t>
            </w:r>
            <w:r w:rsidR="00711793">
              <w:rPr>
                <w:rFonts w:ascii="Times New Roman" w:hAnsi="Times New Roman" w:cs="Times New Roman"/>
              </w:rPr>
              <w:t>7</w:t>
            </w:r>
          </w:p>
        </w:tc>
        <w:tc>
          <w:tcPr>
            <w:tcW w:w="1558" w:type="dxa"/>
            <w:vAlign w:val="center"/>
          </w:tcPr>
          <w:p w14:paraId="49A8887F" w14:textId="65CE3DF3" w:rsidR="001B7334" w:rsidRDefault="00332FAC" w:rsidP="001B7334">
            <w:pPr>
              <w:jc w:val="center"/>
              <w:rPr>
                <w:rFonts w:ascii="Times New Roman" w:hAnsi="Times New Roman" w:cs="Times New Roman"/>
              </w:rPr>
            </w:pPr>
            <w:r w:rsidRPr="00332FAC">
              <w:rPr>
                <w:rFonts w:ascii="Times New Roman" w:hAnsi="Times New Roman" w:cs="Times New Roman"/>
              </w:rPr>
              <w:t>0.7</w:t>
            </w:r>
            <w:r w:rsidR="00D32768">
              <w:rPr>
                <w:rFonts w:ascii="Times New Roman" w:hAnsi="Times New Roman" w:cs="Times New Roman"/>
              </w:rPr>
              <w:t>5</w:t>
            </w:r>
            <w:r w:rsidR="00711793">
              <w:rPr>
                <w:rFonts w:ascii="Times New Roman" w:hAnsi="Times New Roman" w:cs="Times New Roman"/>
              </w:rPr>
              <w:t>6</w:t>
            </w:r>
          </w:p>
        </w:tc>
        <w:tc>
          <w:tcPr>
            <w:tcW w:w="1559" w:type="dxa"/>
            <w:vAlign w:val="center"/>
          </w:tcPr>
          <w:p w14:paraId="61893F56" w14:textId="130E8035" w:rsidR="001B7334" w:rsidRDefault="00332FAC" w:rsidP="001B7334">
            <w:pPr>
              <w:jc w:val="center"/>
              <w:rPr>
                <w:rFonts w:ascii="Times New Roman" w:hAnsi="Times New Roman" w:cs="Times New Roman"/>
              </w:rPr>
            </w:pPr>
            <w:r w:rsidRPr="00332FAC">
              <w:rPr>
                <w:rFonts w:ascii="Times New Roman" w:hAnsi="Times New Roman" w:cs="Times New Roman"/>
              </w:rPr>
              <w:t>0.7</w:t>
            </w:r>
            <w:r w:rsidR="00D32768">
              <w:rPr>
                <w:rFonts w:ascii="Times New Roman" w:hAnsi="Times New Roman" w:cs="Times New Roman"/>
              </w:rPr>
              <w:t>08</w:t>
            </w:r>
          </w:p>
        </w:tc>
        <w:tc>
          <w:tcPr>
            <w:tcW w:w="1559" w:type="dxa"/>
            <w:vAlign w:val="center"/>
          </w:tcPr>
          <w:p w14:paraId="694F9FDB" w14:textId="2DF7E219" w:rsidR="001B7334" w:rsidRDefault="00332FAC" w:rsidP="00332FAC">
            <w:pPr>
              <w:jc w:val="center"/>
              <w:rPr>
                <w:rFonts w:ascii="Times New Roman" w:hAnsi="Times New Roman" w:cs="Times New Roman"/>
              </w:rPr>
            </w:pPr>
            <w:r w:rsidRPr="00332FAC">
              <w:rPr>
                <w:rFonts w:ascii="Times New Roman" w:hAnsi="Times New Roman" w:cs="Times New Roman"/>
              </w:rPr>
              <w:t>0.</w:t>
            </w:r>
            <w:r w:rsidR="00D32768">
              <w:rPr>
                <w:rFonts w:ascii="Times New Roman" w:hAnsi="Times New Roman" w:cs="Times New Roman"/>
              </w:rPr>
              <w:t>63</w:t>
            </w:r>
            <w:r w:rsidR="00711793">
              <w:rPr>
                <w:rFonts w:ascii="Times New Roman" w:hAnsi="Times New Roman" w:cs="Times New Roman"/>
              </w:rPr>
              <w:t>7</w:t>
            </w:r>
          </w:p>
        </w:tc>
      </w:tr>
      <w:tr w:rsidR="001B7334" w14:paraId="4166783D" w14:textId="77777777" w:rsidTr="002566E8">
        <w:trPr>
          <w:trHeight w:val="530"/>
        </w:trPr>
        <w:tc>
          <w:tcPr>
            <w:tcW w:w="1558" w:type="dxa"/>
            <w:vAlign w:val="center"/>
          </w:tcPr>
          <w:p w14:paraId="5C6080B0" w14:textId="7223D636" w:rsidR="001B7334" w:rsidRPr="001B7334" w:rsidRDefault="001B7334" w:rsidP="001B7334">
            <w:pPr>
              <w:jc w:val="center"/>
              <w:rPr>
                <w:rFonts w:ascii="Times New Roman" w:hAnsi="Times New Roman" w:cs="Times New Roman"/>
                <w:b/>
                <w:bCs/>
              </w:rPr>
            </w:pPr>
            <w:r w:rsidRPr="001B7334">
              <w:rPr>
                <w:rFonts w:ascii="Times New Roman" w:hAnsi="Times New Roman" w:cs="Times New Roman"/>
                <w:b/>
                <w:bCs/>
              </w:rPr>
              <w:t>Microarray</w:t>
            </w:r>
          </w:p>
        </w:tc>
        <w:tc>
          <w:tcPr>
            <w:tcW w:w="1558" w:type="dxa"/>
            <w:vAlign w:val="center"/>
          </w:tcPr>
          <w:p w14:paraId="7D35D366" w14:textId="50B9C107" w:rsidR="001B7334" w:rsidRDefault="001B7334" w:rsidP="001B7334">
            <w:pPr>
              <w:jc w:val="center"/>
              <w:rPr>
                <w:rFonts w:ascii="Times New Roman" w:hAnsi="Times New Roman" w:cs="Times New Roman"/>
              </w:rPr>
            </w:pPr>
            <w:r w:rsidRPr="001B7334">
              <w:rPr>
                <w:rFonts w:ascii="Times New Roman" w:hAnsi="Times New Roman" w:cs="Times New Roman"/>
              </w:rPr>
              <w:t>0.</w:t>
            </w:r>
            <w:r w:rsidR="00332FAC">
              <w:rPr>
                <w:rFonts w:ascii="Times New Roman" w:hAnsi="Times New Roman" w:cs="Times New Roman"/>
              </w:rPr>
              <w:t>5</w:t>
            </w:r>
            <w:r w:rsidR="00D32768">
              <w:rPr>
                <w:rFonts w:ascii="Times New Roman" w:hAnsi="Times New Roman" w:cs="Times New Roman"/>
              </w:rPr>
              <w:t>2</w:t>
            </w:r>
            <w:r w:rsidR="00711793">
              <w:rPr>
                <w:rFonts w:ascii="Times New Roman" w:hAnsi="Times New Roman" w:cs="Times New Roman"/>
              </w:rPr>
              <w:t>1</w:t>
            </w:r>
          </w:p>
        </w:tc>
        <w:tc>
          <w:tcPr>
            <w:tcW w:w="1558" w:type="dxa"/>
            <w:vAlign w:val="center"/>
          </w:tcPr>
          <w:p w14:paraId="14FBECBD" w14:textId="5CC0F473" w:rsidR="001B7334" w:rsidRDefault="00332FAC" w:rsidP="001B7334">
            <w:pPr>
              <w:jc w:val="center"/>
              <w:rPr>
                <w:rFonts w:ascii="Times New Roman" w:hAnsi="Times New Roman" w:cs="Times New Roman"/>
              </w:rPr>
            </w:pPr>
            <w:r w:rsidRPr="00332FAC">
              <w:rPr>
                <w:rFonts w:ascii="Times New Roman" w:hAnsi="Times New Roman" w:cs="Times New Roman"/>
              </w:rPr>
              <w:t>0.3</w:t>
            </w:r>
            <w:r w:rsidR="00D32768">
              <w:rPr>
                <w:rFonts w:ascii="Times New Roman" w:hAnsi="Times New Roman" w:cs="Times New Roman"/>
              </w:rPr>
              <w:t>71</w:t>
            </w:r>
          </w:p>
        </w:tc>
        <w:tc>
          <w:tcPr>
            <w:tcW w:w="1558" w:type="dxa"/>
            <w:vAlign w:val="center"/>
          </w:tcPr>
          <w:p w14:paraId="1FB5CBBB" w14:textId="05B370CD" w:rsidR="001B7334" w:rsidRDefault="00332FAC" w:rsidP="001B7334">
            <w:pPr>
              <w:jc w:val="center"/>
              <w:rPr>
                <w:rFonts w:ascii="Times New Roman" w:hAnsi="Times New Roman" w:cs="Times New Roman"/>
              </w:rPr>
            </w:pPr>
            <w:r w:rsidRPr="00332FAC">
              <w:rPr>
                <w:rFonts w:ascii="Times New Roman" w:hAnsi="Times New Roman" w:cs="Times New Roman"/>
              </w:rPr>
              <w:t>0.</w:t>
            </w:r>
            <w:r w:rsidR="00D32768">
              <w:rPr>
                <w:rFonts w:ascii="Times New Roman" w:hAnsi="Times New Roman" w:cs="Times New Roman"/>
              </w:rPr>
              <w:t>500</w:t>
            </w:r>
          </w:p>
        </w:tc>
        <w:tc>
          <w:tcPr>
            <w:tcW w:w="1559" w:type="dxa"/>
            <w:vAlign w:val="center"/>
          </w:tcPr>
          <w:p w14:paraId="1C5579D6" w14:textId="0389B050" w:rsidR="001B7334" w:rsidRDefault="00332FAC" w:rsidP="001B7334">
            <w:pPr>
              <w:jc w:val="center"/>
              <w:rPr>
                <w:rFonts w:ascii="Times New Roman" w:hAnsi="Times New Roman" w:cs="Times New Roman"/>
              </w:rPr>
            </w:pPr>
            <w:r w:rsidRPr="00332FAC">
              <w:rPr>
                <w:rFonts w:ascii="Times New Roman" w:hAnsi="Times New Roman" w:cs="Times New Roman"/>
              </w:rPr>
              <w:t>0.</w:t>
            </w:r>
            <w:r w:rsidR="00D32768">
              <w:rPr>
                <w:rFonts w:ascii="Times New Roman" w:hAnsi="Times New Roman" w:cs="Times New Roman"/>
              </w:rPr>
              <w:t>426</w:t>
            </w:r>
          </w:p>
        </w:tc>
        <w:tc>
          <w:tcPr>
            <w:tcW w:w="1559" w:type="dxa"/>
            <w:vAlign w:val="center"/>
          </w:tcPr>
          <w:p w14:paraId="162FC35D" w14:textId="1B173DE1" w:rsidR="001B7334" w:rsidRDefault="00332FAC" w:rsidP="00332FAC">
            <w:pPr>
              <w:jc w:val="center"/>
              <w:rPr>
                <w:rFonts w:ascii="Times New Roman" w:hAnsi="Times New Roman" w:cs="Times New Roman"/>
              </w:rPr>
            </w:pPr>
            <w:r w:rsidRPr="00332FAC">
              <w:rPr>
                <w:rFonts w:ascii="Times New Roman" w:hAnsi="Times New Roman" w:cs="Times New Roman"/>
              </w:rPr>
              <w:t>0.</w:t>
            </w:r>
            <w:r w:rsidR="00D32768">
              <w:rPr>
                <w:rFonts w:ascii="Times New Roman" w:hAnsi="Times New Roman" w:cs="Times New Roman"/>
              </w:rPr>
              <w:t>50</w:t>
            </w:r>
            <w:r w:rsidR="00711793">
              <w:rPr>
                <w:rFonts w:ascii="Times New Roman" w:hAnsi="Times New Roman" w:cs="Times New Roman"/>
              </w:rPr>
              <w:t>5</w:t>
            </w:r>
          </w:p>
        </w:tc>
      </w:tr>
    </w:tbl>
    <w:p w14:paraId="59AEAAAE" w14:textId="3D03CA59" w:rsidR="006B29F8" w:rsidRPr="00FE250C" w:rsidRDefault="00FE250C" w:rsidP="002566E8">
      <w:pPr>
        <w:jc w:val="center"/>
        <w:rPr>
          <w:rFonts w:ascii="Times New Roman" w:hAnsi="Times New Roman" w:cs="Times New Roman"/>
          <w:i/>
          <w:iCs/>
          <w:sz w:val="20"/>
          <w:szCs w:val="20"/>
        </w:rPr>
      </w:pPr>
      <w:r w:rsidRPr="00FE250C">
        <w:rPr>
          <w:rFonts w:ascii="Times New Roman" w:hAnsi="Times New Roman" w:cs="Times New Roman"/>
          <w:i/>
          <w:iCs/>
          <w:sz w:val="20"/>
          <w:szCs w:val="20"/>
        </w:rPr>
        <w:t>Table</w:t>
      </w:r>
      <w:r w:rsidR="002566E8">
        <w:rPr>
          <w:rFonts w:ascii="Times New Roman" w:hAnsi="Times New Roman" w:cs="Times New Roman"/>
          <w:i/>
          <w:iCs/>
          <w:sz w:val="20"/>
          <w:szCs w:val="20"/>
        </w:rPr>
        <w:t xml:space="preserve"> 1</w:t>
      </w:r>
      <w:r w:rsidRPr="00FE250C">
        <w:rPr>
          <w:rFonts w:ascii="Times New Roman" w:hAnsi="Times New Roman" w:cs="Times New Roman"/>
          <w:i/>
          <w:iCs/>
          <w:sz w:val="20"/>
          <w:szCs w:val="20"/>
        </w:rPr>
        <w:t xml:space="preserve">: </w:t>
      </w:r>
      <w:r>
        <w:rPr>
          <w:rFonts w:ascii="Times New Roman" w:hAnsi="Times New Roman" w:cs="Times New Roman"/>
          <w:i/>
          <w:iCs/>
          <w:sz w:val="20"/>
          <w:szCs w:val="20"/>
        </w:rPr>
        <w:t xml:space="preserve">Various </w:t>
      </w:r>
      <w:r w:rsidRPr="00FE250C">
        <w:rPr>
          <w:rFonts w:ascii="Times New Roman" w:hAnsi="Times New Roman" w:cs="Times New Roman"/>
          <w:i/>
          <w:iCs/>
          <w:sz w:val="20"/>
          <w:szCs w:val="20"/>
        </w:rPr>
        <w:t xml:space="preserve">Scoring Metrics for </w:t>
      </w:r>
      <w:r w:rsidR="006B29F8">
        <w:rPr>
          <w:rFonts w:ascii="Times New Roman" w:hAnsi="Times New Roman" w:cs="Times New Roman"/>
          <w:i/>
          <w:iCs/>
          <w:sz w:val="20"/>
          <w:szCs w:val="20"/>
        </w:rPr>
        <w:t>Training, Testing, and Microarray Data</w:t>
      </w:r>
    </w:p>
    <w:p w14:paraId="3053376F" w14:textId="77777777" w:rsidR="00FE250C" w:rsidRDefault="00FE250C" w:rsidP="00753602">
      <w:pPr>
        <w:rPr>
          <w:rFonts w:ascii="Times New Roman" w:hAnsi="Times New Roman" w:cs="Times New Roman"/>
        </w:rPr>
      </w:pPr>
    </w:p>
    <w:p w14:paraId="5A577FEC" w14:textId="70770B86" w:rsidR="001B7334" w:rsidRPr="00753602" w:rsidRDefault="009644EF" w:rsidP="00753602">
      <w:pPr>
        <w:rPr>
          <w:rFonts w:ascii="Times New Roman" w:hAnsi="Times New Roman" w:cs="Times New Roman"/>
        </w:rPr>
      </w:pPr>
      <w:r>
        <w:rPr>
          <w:rFonts w:ascii="Times New Roman" w:hAnsi="Times New Roman" w:cs="Times New Roman"/>
          <w:noProof/>
        </w:rPr>
        <w:lastRenderedPageBreak/>
        <w:drawing>
          <wp:inline distT="0" distB="0" distL="0" distR="0" wp14:anchorId="47281A83" wp14:editId="2A8C514E">
            <wp:extent cx="1978223" cy="1857600"/>
            <wp:effectExtent l="0" t="0" r="3175" b="0"/>
            <wp:docPr id="1294297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97790"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8223" cy="1857600"/>
                    </a:xfrm>
                    <a:prstGeom prst="rect">
                      <a:avLst/>
                    </a:prstGeom>
                  </pic:spPr>
                </pic:pic>
              </a:graphicData>
            </a:graphic>
          </wp:inline>
        </w:drawing>
      </w:r>
      <w:r>
        <w:rPr>
          <w:rFonts w:ascii="Times New Roman" w:hAnsi="Times New Roman" w:cs="Times New Roman"/>
          <w:noProof/>
        </w:rPr>
        <w:drawing>
          <wp:inline distT="0" distB="0" distL="0" distR="0" wp14:anchorId="1F006ACF" wp14:editId="1C85D40F">
            <wp:extent cx="1978223" cy="1857600"/>
            <wp:effectExtent l="0" t="0" r="3175" b="0"/>
            <wp:docPr id="1361376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6801"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8223" cy="1857600"/>
                    </a:xfrm>
                    <a:prstGeom prst="rect">
                      <a:avLst/>
                    </a:prstGeom>
                  </pic:spPr>
                </pic:pic>
              </a:graphicData>
            </a:graphic>
          </wp:inline>
        </w:drawing>
      </w:r>
      <w:r>
        <w:rPr>
          <w:rFonts w:ascii="Times New Roman" w:hAnsi="Times New Roman" w:cs="Times New Roman"/>
          <w:noProof/>
        </w:rPr>
        <w:drawing>
          <wp:inline distT="0" distB="0" distL="0" distR="0" wp14:anchorId="2201F6F6" wp14:editId="41CACF77">
            <wp:extent cx="1978223" cy="1857600"/>
            <wp:effectExtent l="0" t="0" r="3175" b="0"/>
            <wp:docPr id="325965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5315"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8223" cy="1857600"/>
                    </a:xfrm>
                    <a:prstGeom prst="rect">
                      <a:avLst/>
                    </a:prstGeom>
                  </pic:spPr>
                </pic:pic>
              </a:graphicData>
            </a:graphic>
          </wp:inline>
        </w:drawing>
      </w:r>
    </w:p>
    <w:p w14:paraId="6D423034" w14:textId="77777777" w:rsidR="002566E8" w:rsidRDefault="002566E8" w:rsidP="00FE250C">
      <w:pPr>
        <w:jc w:val="center"/>
        <w:rPr>
          <w:rFonts w:ascii="Times New Roman" w:hAnsi="Times New Roman" w:cs="Times New Roman"/>
          <w:i/>
          <w:iCs/>
          <w:sz w:val="20"/>
          <w:szCs w:val="20"/>
        </w:rPr>
      </w:pPr>
    </w:p>
    <w:p w14:paraId="11EBA938" w14:textId="5B5AC327" w:rsidR="00FE250C" w:rsidRPr="00FE250C" w:rsidRDefault="00FE250C" w:rsidP="00FE250C">
      <w:pPr>
        <w:jc w:val="center"/>
        <w:rPr>
          <w:rFonts w:ascii="Times New Roman" w:hAnsi="Times New Roman" w:cs="Times New Roman"/>
          <w:i/>
          <w:iCs/>
          <w:sz w:val="20"/>
          <w:szCs w:val="20"/>
        </w:rPr>
      </w:pPr>
      <w:r w:rsidRPr="00FE250C">
        <w:rPr>
          <w:rFonts w:ascii="Times New Roman" w:hAnsi="Times New Roman" w:cs="Times New Roman"/>
          <w:i/>
          <w:iCs/>
          <w:sz w:val="20"/>
          <w:szCs w:val="20"/>
        </w:rPr>
        <w:t xml:space="preserve">Figure </w:t>
      </w:r>
      <w:r>
        <w:rPr>
          <w:rFonts w:ascii="Times New Roman" w:hAnsi="Times New Roman" w:cs="Times New Roman"/>
          <w:i/>
          <w:iCs/>
          <w:sz w:val="20"/>
          <w:szCs w:val="20"/>
        </w:rPr>
        <w:t xml:space="preserve">1: </w:t>
      </w:r>
      <w:r w:rsidR="003F39CF">
        <w:rPr>
          <w:rFonts w:ascii="Times New Roman" w:hAnsi="Times New Roman" w:cs="Times New Roman"/>
          <w:i/>
          <w:iCs/>
          <w:sz w:val="20"/>
          <w:szCs w:val="20"/>
        </w:rPr>
        <w:t>R</w:t>
      </w:r>
      <w:r w:rsidR="00192E64">
        <w:rPr>
          <w:rFonts w:ascii="Times New Roman" w:hAnsi="Times New Roman" w:cs="Times New Roman"/>
          <w:i/>
          <w:iCs/>
          <w:sz w:val="20"/>
          <w:szCs w:val="20"/>
        </w:rPr>
        <w:t xml:space="preserve">ecurrence Free Survival </w:t>
      </w:r>
      <w:r>
        <w:rPr>
          <w:rFonts w:ascii="Times New Roman" w:hAnsi="Times New Roman" w:cs="Times New Roman"/>
          <w:i/>
          <w:iCs/>
          <w:sz w:val="20"/>
          <w:szCs w:val="20"/>
        </w:rPr>
        <w:t xml:space="preserve">Curves stratified by </w:t>
      </w:r>
      <w:r w:rsidR="00A62606">
        <w:rPr>
          <w:rFonts w:ascii="Times New Roman" w:hAnsi="Times New Roman" w:cs="Times New Roman"/>
          <w:i/>
          <w:iCs/>
          <w:sz w:val="20"/>
          <w:szCs w:val="20"/>
        </w:rPr>
        <w:t>P</w:t>
      </w:r>
      <w:r>
        <w:rPr>
          <w:rFonts w:ascii="Times New Roman" w:hAnsi="Times New Roman" w:cs="Times New Roman"/>
          <w:i/>
          <w:iCs/>
          <w:sz w:val="20"/>
          <w:szCs w:val="20"/>
        </w:rPr>
        <w:t>rediction</w:t>
      </w:r>
      <w:r w:rsidR="00A62606">
        <w:rPr>
          <w:rFonts w:ascii="Times New Roman" w:hAnsi="Times New Roman" w:cs="Times New Roman"/>
          <w:i/>
          <w:iCs/>
          <w:sz w:val="20"/>
          <w:szCs w:val="20"/>
        </w:rPr>
        <w:t xml:space="preserve"> Label</w:t>
      </w:r>
    </w:p>
    <w:p w14:paraId="7BE25C6C" w14:textId="77777777" w:rsidR="003F39CF" w:rsidRDefault="003F39CF" w:rsidP="00F64F49">
      <w:pPr>
        <w:rPr>
          <w:rFonts w:ascii="Times New Roman" w:hAnsi="Times New Roman" w:cs="Times New Roman"/>
          <w:b/>
          <w:bCs/>
        </w:rPr>
      </w:pPr>
    </w:p>
    <w:p w14:paraId="1220CB34" w14:textId="1589A2AA" w:rsidR="00F64F49" w:rsidRPr="00863754" w:rsidRDefault="00F64F49" w:rsidP="00F64F49">
      <w:pPr>
        <w:rPr>
          <w:rFonts w:ascii="Times New Roman" w:hAnsi="Times New Roman" w:cs="Times New Roman"/>
          <w:b/>
          <w:bCs/>
        </w:rPr>
      </w:pPr>
      <w:r w:rsidRPr="00863754">
        <w:rPr>
          <w:rFonts w:ascii="Times New Roman" w:hAnsi="Times New Roman" w:cs="Times New Roman"/>
          <w:b/>
          <w:bCs/>
        </w:rPr>
        <w:t>Clinical Interpretation:</w:t>
      </w:r>
    </w:p>
    <w:p w14:paraId="790D82DA" w14:textId="5F7A8637" w:rsidR="008106AE" w:rsidRPr="00A62606" w:rsidRDefault="00A62606" w:rsidP="00863754">
      <w:pPr>
        <w:rPr>
          <w:rFonts w:ascii="Times New Roman" w:hAnsi="Times New Roman" w:cs="Times New Roman"/>
        </w:rPr>
      </w:pPr>
      <w:r w:rsidRPr="00A62606">
        <w:rPr>
          <w:rFonts w:ascii="Times New Roman" w:hAnsi="Times New Roman" w:cs="Times New Roman"/>
        </w:rPr>
        <w:t>The primary clinical application of this model would be to assess predicted patient response to BCG therapy by modifying the BCG feature within the model inputs. For instance, if inclusion of the BCG variable reclassifies a patient from high to low recurrence risk, BCG therapy may be considered a viable treatment option. Conversely, if a patient is classified as high risk regardless of BCG status, earlier exploration of alternative treatment strategies</w:t>
      </w:r>
      <w:r>
        <w:rPr>
          <w:rFonts w:ascii="Times New Roman" w:hAnsi="Times New Roman" w:cs="Times New Roman"/>
        </w:rPr>
        <w:t xml:space="preserve"> should be considered</w:t>
      </w:r>
      <w:r w:rsidRPr="00A62606">
        <w:rPr>
          <w:rFonts w:ascii="Times New Roman" w:hAnsi="Times New Roman" w:cs="Times New Roman"/>
        </w:rPr>
        <w:t>, with the aim of avoiding radical cystectomy</w:t>
      </w:r>
      <w:r w:rsidR="00306C9C">
        <w:rPr>
          <w:rFonts w:ascii="Times New Roman" w:hAnsi="Times New Roman" w:cs="Times New Roman"/>
        </w:rPr>
        <w:t xml:space="preserve"> </w:t>
      </w:r>
      <w:r w:rsidR="00306C9C">
        <w:rPr>
          <w:rFonts w:ascii="Times New Roman" w:hAnsi="Times New Roman" w:cs="Times New Roman"/>
        </w:rPr>
        <w:fldChar w:fldCharType="begin"/>
      </w:r>
      <w:r w:rsidR="00306C9C">
        <w:rPr>
          <w:rFonts w:ascii="Times New Roman" w:hAnsi="Times New Roman" w:cs="Times New Roman"/>
        </w:rPr>
        <w:instrText xml:space="preserve"> ADDIN ZOTERO_ITEM CSL_CITATION {"citationID":"xO16Z8l8","properties":{"unsorted":false,"formattedCitation":"\\super 4\\nosupersub{}","plainCitation":"4","noteIndex":0},"citationItems":[{"id":5932,"uris":["http://zotero.org/users/13045277/items/8SWPP3LC"],"itemData":{"id":5932,"type":"article-journal","container-title":"European Urology","DOI":"10.1016/j.eururo.2025.03.017","ISSN":"0302-2838, 1873-7560","issue":"1","journalAbbreviation":"European Urology","language":"English","page":"18-28","PMID":"40268594","publisher":"Elsevier","source":"www.europeanurology.com","title":"Bladder Preservation Strategies in Muscle-invasive Bladder Cancer: Recommendations from the International Bladder Cancer Group","title-short":"Bladder Preservation Strategies in Muscle-invasive Bladder Cancer","volume":"89","author":[{"family":"Gupta","given":"Shilpa"},{"family":"Hensley","given":"Patrick J."},{"family":"Li","given":"Roger"},{"family":"Choudhury","given":"Ananya"},{"family":"Daneshmand","given":"Siamak"},{"family":"Faltas","given":"Bishoy M."},{"family":"Flaig","given":"Thomas W."},{"family":"Grass","given":"G. Daniel"},{"family":"Grivas","given":"Petros"},{"family":"Hansel","given":"Donna E."},{"family":"Hassanzadeh","given":"Comron"},{"family":"Kassouf","given":"Wassim"},{"family":"Kukreja","given":"Janet"},{"family":"Mendoza-Valdés","given":"Arturo"},{"family":"Moschini","given":"Marco"},{"family":"Mouw","given":"Kent W."},{"family":"Navai","given":"Neema"},{"family":"Necchi","given":"Andrea"},{"family":"Rosenberg","given":"Jonathan E."},{"family":"Ross","given":"Jeffrey S."},{"family":"Siefker-Radtke","given":"Arlene O."},{"family":"Taylor","given":"John"},{"family":"Willliams","given":"Stephen B."},{"family":"Zlotta","given":"Alexandre R."},{"family":"Buckley","given":"Roger"},{"family":"Kamat","given":"Ashish M."}],"issued":{"date-parts":[["2026",1,1]]}}}],"schema":"https://github.com/citation-style-language/schema/raw/master/csl-citation.json"} </w:instrText>
      </w:r>
      <w:r w:rsidR="00306C9C">
        <w:rPr>
          <w:rFonts w:ascii="Times New Roman" w:hAnsi="Times New Roman" w:cs="Times New Roman"/>
        </w:rPr>
        <w:fldChar w:fldCharType="separate"/>
      </w:r>
      <w:r w:rsidR="00E434AF" w:rsidRPr="00E434AF">
        <w:rPr>
          <w:rFonts w:ascii="Times New Roman" w:hAnsi="Times New Roman" w:cs="Times New Roman"/>
          <w:kern w:val="0"/>
          <w:vertAlign w:val="superscript"/>
          <w:lang w:val="en-US"/>
        </w:rPr>
        <w:t>4</w:t>
      </w:r>
      <w:r w:rsidR="00306C9C">
        <w:rPr>
          <w:rFonts w:ascii="Times New Roman" w:hAnsi="Times New Roman" w:cs="Times New Roman"/>
        </w:rPr>
        <w:fldChar w:fldCharType="end"/>
      </w:r>
      <w:r w:rsidRPr="00A62606">
        <w:rPr>
          <w:rFonts w:ascii="Times New Roman" w:hAnsi="Times New Roman" w:cs="Times New Roman"/>
        </w:rPr>
        <w:t xml:space="preserve">. Clinicians should interpret these predictions with caution, given the model’s reduced performance on previously unseen data and its tendency </w:t>
      </w:r>
      <w:r>
        <w:rPr>
          <w:rFonts w:ascii="Times New Roman" w:hAnsi="Times New Roman" w:cs="Times New Roman"/>
        </w:rPr>
        <w:t>for</w:t>
      </w:r>
      <w:r w:rsidRPr="00A62606">
        <w:rPr>
          <w:rFonts w:ascii="Times New Roman" w:hAnsi="Times New Roman" w:cs="Times New Roman"/>
        </w:rPr>
        <w:t xml:space="preserve"> false-positive classifications. As a result, some patients may be incorrectly identified as unlikely to benefit from BCG despite</w:t>
      </w:r>
      <w:r>
        <w:rPr>
          <w:rFonts w:ascii="Times New Roman" w:hAnsi="Times New Roman" w:cs="Times New Roman"/>
        </w:rPr>
        <w:t xml:space="preserve"> having</w:t>
      </w:r>
      <w:r w:rsidRPr="00A62606">
        <w:rPr>
          <w:rFonts w:ascii="Times New Roman" w:hAnsi="Times New Roman" w:cs="Times New Roman"/>
        </w:rPr>
        <w:t xml:space="preserve"> a potential therapeutic response.</w:t>
      </w:r>
    </w:p>
    <w:p w14:paraId="249165F4" w14:textId="77777777" w:rsidR="00A62606" w:rsidRPr="00863754" w:rsidRDefault="00A62606" w:rsidP="00863754">
      <w:pPr>
        <w:rPr>
          <w:rFonts w:ascii="Times New Roman" w:hAnsi="Times New Roman" w:cs="Times New Roman"/>
        </w:rPr>
      </w:pPr>
    </w:p>
    <w:p w14:paraId="14448CC8" w14:textId="6D6E187C" w:rsidR="009F2622" w:rsidRDefault="00F64F49" w:rsidP="009F2622">
      <w:pPr>
        <w:rPr>
          <w:rFonts w:ascii="Times New Roman" w:hAnsi="Times New Roman" w:cs="Times New Roman"/>
          <w:b/>
          <w:bCs/>
        </w:rPr>
      </w:pPr>
      <w:r w:rsidRPr="00863754">
        <w:rPr>
          <w:rFonts w:ascii="Times New Roman" w:hAnsi="Times New Roman" w:cs="Times New Roman"/>
          <w:b/>
          <w:bCs/>
        </w:rPr>
        <w:t>Limitations</w:t>
      </w:r>
      <w:r w:rsidR="00687D84">
        <w:rPr>
          <w:rFonts w:ascii="Times New Roman" w:hAnsi="Times New Roman" w:cs="Times New Roman"/>
          <w:b/>
          <w:bCs/>
        </w:rPr>
        <w:t xml:space="preserve"> and </w:t>
      </w:r>
      <w:r w:rsidRPr="00863754">
        <w:rPr>
          <w:rFonts w:ascii="Times New Roman" w:hAnsi="Times New Roman" w:cs="Times New Roman"/>
          <w:b/>
          <w:bCs/>
        </w:rPr>
        <w:t>F</w:t>
      </w:r>
      <w:r w:rsidR="00687D84">
        <w:rPr>
          <w:rFonts w:ascii="Times New Roman" w:hAnsi="Times New Roman" w:cs="Times New Roman"/>
          <w:b/>
          <w:bCs/>
        </w:rPr>
        <w:t>uture</w:t>
      </w:r>
      <w:r w:rsidRPr="00863754">
        <w:rPr>
          <w:rFonts w:ascii="Times New Roman" w:hAnsi="Times New Roman" w:cs="Times New Roman"/>
          <w:b/>
          <w:bCs/>
        </w:rPr>
        <w:t xml:space="preserve"> Work:</w:t>
      </w:r>
    </w:p>
    <w:p w14:paraId="03F1360E" w14:textId="4979B4AD" w:rsidR="009D1FDA" w:rsidRPr="009F2622" w:rsidRDefault="002566E8" w:rsidP="009F2622">
      <w:pPr>
        <w:rPr>
          <w:rFonts w:ascii="Times New Roman" w:hAnsi="Times New Roman" w:cs="Times New Roman"/>
          <w:b/>
          <w:bCs/>
        </w:rPr>
      </w:pPr>
      <w:r>
        <w:rPr>
          <w:rFonts w:ascii="Times New Roman" w:hAnsi="Times New Roman" w:cs="Times New Roman"/>
        </w:rPr>
        <w:t>The weak predictive signal</w:t>
      </w:r>
      <w:r w:rsidR="00192E64">
        <w:rPr>
          <w:rFonts w:ascii="Times New Roman" w:hAnsi="Times New Roman" w:cs="Times New Roman"/>
        </w:rPr>
        <w:t xml:space="preserve"> observed on the testing set</w:t>
      </w:r>
      <w:r>
        <w:rPr>
          <w:rFonts w:ascii="Times New Roman" w:hAnsi="Times New Roman" w:cs="Times New Roman"/>
        </w:rPr>
        <w:t xml:space="preserve"> is likely a result of cancer heterogeneity</w:t>
      </w:r>
      <w:r w:rsidR="00D859A9" w:rsidRPr="009F2622">
        <w:rPr>
          <w:rFonts w:ascii="Times New Roman" w:hAnsi="Times New Roman" w:cs="Times New Roman"/>
        </w:rPr>
        <w:t xml:space="preserve">. Though multiple patients may achieve the same </w:t>
      </w:r>
      <w:r w:rsidR="00192E64">
        <w:rPr>
          <w:rFonts w:ascii="Times New Roman" w:hAnsi="Times New Roman" w:cs="Times New Roman"/>
        </w:rPr>
        <w:t xml:space="preserve">cancer </w:t>
      </w:r>
      <w:r w:rsidR="00D859A9" w:rsidRPr="009F2622">
        <w:rPr>
          <w:rFonts w:ascii="Times New Roman" w:hAnsi="Times New Roman" w:cs="Times New Roman"/>
        </w:rPr>
        <w:t>state, the</w:t>
      </w:r>
      <w:r w:rsidR="009F2622" w:rsidRPr="009F2622">
        <w:rPr>
          <w:rFonts w:ascii="Times New Roman" w:hAnsi="Times New Roman" w:cs="Times New Roman"/>
        </w:rPr>
        <w:t xml:space="preserve">re may be multiple </w:t>
      </w:r>
      <w:r w:rsidR="00D859A9" w:rsidRPr="009F2622">
        <w:rPr>
          <w:rFonts w:ascii="Times New Roman" w:hAnsi="Times New Roman" w:cs="Times New Roman"/>
        </w:rPr>
        <w:t>genetic pathways in play</w:t>
      </w:r>
      <w:r w:rsidR="009F2622" w:rsidRPr="009F2622">
        <w:rPr>
          <w:rFonts w:ascii="Times New Roman" w:hAnsi="Times New Roman" w:cs="Times New Roman"/>
        </w:rPr>
        <w:t xml:space="preserve"> that </w:t>
      </w:r>
      <w:r w:rsidR="00D859A9" w:rsidRPr="009F2622">
        <w:rPr>
          <w:rFonts w:ascii="Times New Roman" w:hAnsi="Times New Roman" w:cs="Times New Roman"/>
        </w:rPr>
        <w:t xml:space="preserve">differ significantly, making it difficult to find a </w:t>
      </w:r>
      <w:r w:rsidR="00477144">
        <w:rPr>
          <w:rFonts w:ascii="Times New Roman" w:hAnsi="Times New Roman" w:cs="Times New Roman"/>
        </w:rPr>
        <w:t>single defining</w:t>
      </w:r>
      <w:r w:rsidR="00D859A9" w:rsidRPr="009F2622">
        <w:rPr>
          <w:rFonts w:ascii="Times New Roman" w:hAnsi="Times New Roman" w:cs="Times New Roman"/>
        </w:rPr>
        <w:t xml:space="preserve"> genetic signal</w:t>
      </w:r>
      <w:r w:rsidR="00477144">
        <w:rPr>
          <w:rFonts w:ascii="Times New Roman" w:hAnsi="Times New Roman" w:cs="Times New Roman"/>
        </w:rPr>
        <w:t xml:space="preserve"> that unifies the group</w:t>
      </w:r>
      <w:r w:rsidR="00A62606">
        <w:rPr>
          <w:rFonts w:ascii="Times New Roman" w:hAnsi="Times New Roman" w:cs="Times New Roman"/>
        </w:rPr>
        <w:t xml:space="preserve"> </w:t>
      </w:r>
      <w:r w:rsidR="00A62606">
        <w:rPr>
          <w:rFonts w:ascii="Times New Roman" w:hAnsi="Times New Roman" w:cs="Times New Roman"/>
        </w:rPr>
        <w:fldChar w:fldCharType="begin"/>
      </w:r>
      <w:r w:rsidR="00306C9C">
        <w:rPr>
          <w:rFonts w:ascii="Times New Roman" w:hAnsi="Times New Roman" w:cs="Times New Roman"/>
        </w:rPr>
        <w:instrText xml:space="preserve"> ADDIN ZOTERO_ITEM CSL_CITATION {"citationID":"zPnHh5lz","properties":{"unsorted":false,"formattedCitation":"\\super 5\\nosupersub{}","plainCitation":"5","noteIndex":0},"citationItems":[{"id":5929,"uris":["http://zotero.org/users/13045277/items/48Q5VEQS"],"itemData":{"id":5929,"type":"article-journal","abstract":"Background\nDespite years of slow progress, muscle invasive bladder cancer (MIBC) is finally entering the era of molecularly guided targeted therapy. However, tumor heterogeneity is high in MIBC and may impact treatment response and resistance. The objective of this review is to dissect recent insights into inter- and intratumor heterogeneity (ITH) in MIBC, with emphasis on the clinical implications of this heterogeneity for biomarker-driven strategies and the development of new therapies.\nMethods\nA nonsystematic review was performed in PubMed and EMBASE using the terms “tumor heterogeneity” and “bladder cancer.”\nResults\nIntertumor heterogeneity, as reflected by different clinical phenotypes in different patients, has been partially explained with next generation sequencing and other molecular profiling technologies. RNA-based molecular subtyping, for example, provides a classification of MIBC into distinct categories that can be used for further molecular analysis, biomarker discovery, risk stratification, and treatment selection. Molecular subtyping and specific genomic alterations, especially in DNA damage repair genes, may help explain why some patients respond better to systemic chemotherapy and immunotherapy. Conversely, spatial and temporal ITH threaten to confound attempts to target specific molecular lesions since not all tumor cells within a patient may carry the relevant lesion. Improved understanding and management of ITH is required for the most effective use of biomarker-driven targeted therapies.\nConclusion\nStrategies to assess and overcome intertumor and ITH in MIBC will be critical steps toward realizing the objectives of precision oncology. Novel techniques such as analysis of circulating tumor DNA and single cell sequencing are likely to revolutionize our understanding of tumor heterogeneity.","container-title":"Urologic Oncology: Seminars and Original Investigations","DOI":"10.1016/j.urolonc.2018.11.015","ISSN":"1078-1439","issue":"7","journalAbbreviation":"Urologic Oncology: Seminars and Original Investigations","page":"287-294","source":"ScienceDirect","title":"Molecular tumor heterogeneity in muscle invasive bladder cancer: Biomarkers, subtypes, and implications for therapy","title-short":"Molecular tumor heterogeneity in muscle invasive bladder cancer","volume":"40","author":[{"family":"Costa","given":"Jose Batista","non-dropping-particle":"da"},{"family":"Gibb","given":"Ewan A."},{"family":"Nykopp","given":"Timo K."},{"family":"Mannas","given":"Miles"},{"family":"Wyatt","given":"Alexander W."},{"family":"Black","given":"Peter C."}],"issued":{"date-parts":[["2022",7,1]]}}}],"schema":"https://github.com/citation-style-language/schema/raw/master/csl-citation.json"} </w:instrText>
      </w:r>
      <w:r w:rsidR="00A62606">
        <w:rPr>
          <w:rFonts w:ascii="Times New Roman" w:hAnsi="Times New Roman" w:cs="Times New Roman"/>
        </w:rPr>
        <w:fldChar w:fldCharType="separate"/>
      </w:r>
      <w:r w:rsidR="00E434AF" w:rsidRPr="00E434AF">
        <w:rPr>
          <w:rFonts w:ascii="Times New Roman" w:hAnsi="Times New Roman" w:cs="Times New Roman"/>
          <w:kern w:val="0"/>
          <w:vertAlign w:val="superscript"/>
          <w:lang w:val="en-US"/>
        </w:rPr>
        <w:t>5</w:t>
      </w:r>
      <w:r w:rsidR="00A62606">
        <w:rPr>
          <w:rFonts w:ascii="Times New Roman" w:hAnsi="Times New Roman" w:cs="Times New Roman"/>
        </w:rPr>
        <w:fldChar w:fldCharType="end"/>
      </w:r>
      <w:r w:rsidR="00D859A9" w:rsidRPr="009F2622">
        <w:rPr>
          <w:rFonts w:ascii="Times New Roman" w:hAnsi="Times New Roman" w:cs="Times New Roman"/>
        </w:rPr>
        <w:t xml:space="preserve">. Other models </w:t>
      </w:r>
      <w:r w:rsidR="009D1FDA" w:rsidRPr="009F2622">
        <w:rPr>
          <w:rFonts w:ascii="Times New Roman" w:hAnsi="Times New Roman" w:cs="Times New Roman"/>
        </w:rPr>
        <w:t>find</w:t>
      </w:r>
      <w:r w:rsidR="00D859A9" w:rsidRPr="009F2622">
        <w:rPr>
          <w:rFonts w:ascii="Times New Roman" w:hAnsi="Times New Roman" w:cs="Times New Roman"/>
        </w:rPr>
        <w:t xml:space="preserve"> labels by unsupervised clustering </w:t>
      </w:r>
      <w:r w:rsidR="009D1FDA" w:rsidRPr="009F2622">
        <w:rPr>
          <w:rFonts w:ascii="Times New Roman" w:hAnsi="Times New Roman" w:cs="Times New Roman"/>
        </w:rPr>
        <w:t>on gene data</w:t>
      </w:r>
      <w:r w:rsidR="00192E64">
        <w:rPr>
          <w:rFonts w:ascii="Times New Roman" w:hAnsi="Times New Roman" w:cs="Times New Roman"/>
        </w:rPr>
        <w:t>.</w:t>
      </w:r>
      <w:r>
        <w:rPr>
          <w:rFonts w:ascii="Times New Roman" w:hAnsi="Times New Roman" w:cs="Times New Roman"/>
        </w:rPr>
        <w:t xml:space="preserve"> </w:t>
      </w:r>
      <w:r w:rsidR="00414B77">
        <w:rPr>
          <w:rFonts w:ascii="Times New Roman" w:hAnsi="Times New Roman" w:cs="Times New Roman"/>
        </w:rPr>
        <w:t xml:space="preserve">Prognostic clusters must be identified manually and </w:t>
      </w:r>
      <w:r>
        <w:rPr>
          <w:rFonts w:ascii="Times New Roman" w:hAnsi="Times New Roman" w:cs="Times New Roman"/>
        </w:rPr>
        <w:t xml:space="preserve">the </w:t>
      </w:r>
      <w:r w:rsidR="009F2622" w:rsidRPr="009F2622">
        <w:rPr>
          <w:rFonts w:ascii="Times New Roman" w:hAnsi="Times New Roman" w:cs="Times New Roman"/>
        </w:rPr>
        <w:t>prognostic value</w:t>
      </w:r>
      <w:r>
        <w:rPr>
          <w:rFonts w:ascii="Times New Roman" w:hAnsi="Times New Roman" w:cs="Times New Roman"/>
        </w:rPr>
        <w:t xml:space="preserve"> of the labels</w:t>
      </w:r>
      <w:r w:rsidR="009F2622" w:rsidRPr="009F2622">
        <w:rPr>
          <w:rFonts w:ascii="Times New Roman" w:hAnsi="Times New Roman" w:cs="Times New Roman"/>
        </w:rPr>
        <w:t xml:space="preserve"> may be </w:t>
      </w:r>
      <w:r>
        <w:rPr>
          <w:rFonts w:ascii="Times New Roman" w:hAnsi="Times New Roman" w:cs="Times New Roman"/>
        </w:rPr>
        <w:t xml:space="preserve">slightly </w:t>
      </w:r>
      <w:r w:rsidR="009F2622" w:rsidRPr="009F2622">
        <w:rPr>
          <w:rFonts w:ascii="Times New Roman" w:hAnsi="Times New Roman" w:cs="Times New Roman"/>
        </w:rPr>
        <w:t>reduced,</w:t>
      </w:r>
      <w:r w:rsidR="00D859A9" w:rsidRPr="009F2622">
        <w:rPr>
          <w:rFonts w:ascii="Times New Roman" w:hAnsi="Times New Roman" w:cs="Times New Roman"/>
        </w:rPr>
        <w:t xml:space="preserve"> but </w:t>
      </w:r>
      <w:r w:rsidR="009D1FDA" w:rsidRPr="009F2622">
        <w:rPr>
          <w:rFonts w:ascii="Times New Roman" w:hAnsi="Times New Roman" w:cs="Times New Roman"/>
        </w:rPr>
        <w:t xml:space="preserve">a </w:t>
      </w:r>
      <w:r w:rsidR="00D859A9" w:rsidRPr="009F2622">
        <w:rPr>
          <w:rFonts w:ascii="Times New Roman" w:hAnsi="Times New Roman" w:cs="Times New Roman"/>
        </w:rPr>
        <w:t xml:space="preserve">genomic </w:t>
      </w:r>
      <w:r w:rsidR="009F2622">
        <w:rPr>
          <w:rFonts w:ascii="Times New Roman" w:hAnsi="Times New Roman" w:cs="Times New Roman"/>
        </w:rPr>
        <w:t>signal</w:t>
      </w:r>
      <w:r w:rsidR="00D859A9" w:rsidRPr="009F2622">
        <w:rPr>
          <w:rFonts w:ascii="Times New Roman" w:hAnsi="Times New Roman" w:cs="Times New Roman"/>
        </w:rPr>
        <w:t xml:space="preserve"> </w:t>
      </w:r>
      <w:r>
        <w:rPr>
          <w:rFonts w:ascii="Times New Roman" w:hAnsi="Times New Roman" w:cs="Times New Roman"/>
        </w:rPr>
        <w:t xml:space="preserve">more robust to cancer heterogeneity </w:t>
      </w:r>
      <w:r w:rsidR="00D859A9" w:rsidRPr="009F2622">
        <w:rPr>
          <w:rFonts w:ascii="Times New Roman" w:hAnsi="Times New Roman" w:cs="Times New Roman"/>
        </w:rPr>
        <w:t>is ensured</w:t>
      </w:r>
      <w:r w:rsidR="008E21C3">
        <w:rPr>
          <w:rFonts w:ascii="Times New Roman" w:hAnsi="Times New Roman" w:cs="Times New Roman"/>
        </w:rPr>
        <w:t xml:space="preserve"> </w:t>
      </w:r>
      <w:r w:rsidR="009D1FDA">
        <w:fldChar w:fldCharType="begin"/>
      </w:r>
      <w:r w:rsidR="00306C9C">
        <w:instrText xml:space="preserve"> ADDIN ZOTERO_ITEM CSL_CITATION {"citationID":"nbA93K5Y","properties":{"unsorted":false,"formattedCitation":"\\super 6\\nosupersub{}","plainCitation":"6","noteIndex":0},"citationItems":[{"id":5763,"uris":["http://zotero.org/users/13045277/items/DSEGP2UU"],"itemData":{"id":5763,"type":"article-journal","abstract":"The molecular landscape in non-muscle-invasive bladder cancer (NMIBC) is characterized by large biological heterogeneity with variable clinical outcomes. Here, we perform an integrative multi-omics analysis of patients diagnosed with NMIBC (n</w:instrText>
      </w:r>
      <w:r w:rsidR="00306C9C">
        <w:rPr>
          <w:rFonts w:ascii="Arial" w:hAnsi="Arial" w:cs="Arial"/>
        </w:rPr>
        <w:instrText> </w:instrText>
      </w:r>
      <w:r w:rsidR="00306C9C">
        <w:instrText>=</w:instrText>
      </w:r>
      <w:r w:rsidR="00306C9C">
        <w:rPr>
          <w:rFonts w:ascii="Arial" w:hAnsi="Arial" w:cs="Arial"/>
        </w:rPr>
        <w:instrText> </w:instrText>
      </w:r>
      <w:r w:rsidR="00306C9C">
        <w:instrText xml:space="preserve">834). Transcriptomic analysis identifies four classes (1, 2a, 2b and 3) reflecting tumor biology and disease aggressiveness. Both transcriptome-based subtyping and the level of chromosomal instability provide independent prognostic value beyond established prognostic clinicopathological parameters. High chromosomal instability, p53-pathway disruption and APOBEC-related mutations are significantly associated with transcriptomic class 2a and poor outcome. RNA-derived immune cell infiltration is associated with chromosomally unstable tumors and enriched in class 2b. Spatial proteomics analysis confirms the higher infiltration of class 2b tumors and demonstrates an association between higher immune cell infiltration and lower recurrence rates. Finally, the independent prognostic value of the transcriptomic classes is documented in 1228 validation samples using a single sample classification tool. The classifier provides a framework for biomarker discovery and for optimizing treatment and surveillance in next-generation clinical trials.","container-title":"Nature Communications","DOI":"10.1038/s41467-021-22465-w","ISSN":"2041-1723","issue":"1","journalAbbreviation":"Nat Commun","language":"en","license":"2021 The Author(s)","page":"2301","publisher":"Nature Publishing Group","source":"www.nature.com","title":"An integrated multi-omics analysis identifies prognostic molecular subtypes of non-muscle-invasive bladder cancer","volume":"12","author":[{"family":"Lindskrog","given":"Sia Viborg"},{"family":"Prip","given":"Frederik"},{"family":"Lamy","given":"Philippe"},{"family":"Taber","given":"Ann"},{"family":"Groeneveld","given":"Clarice S."},{"family":"Birkenkamp-Demtröder","given":"Karin"},{"family":"Jensen","given":"Jørgen Bjerggaard"},{"family":"Strandgaard","given":"Trine"},{"family":"Nordentoft","given":"Iver"},{"family":"Christensen","given":"Emil"},{"family":"Sokac","given":"Mateo"},{"family":"Birkbak","given":"Nicolai J."},{"family":"Maretty","given":"Lasse"},{"family":"Hermann","given":"Gregers G."},{"family":"Petersen","given":"Astrid C."},{"family":"Weyerer","given":"Veronika"},{"family":"Grimm","given":"Marc-Oliver"},{"family":"Horstmann","given":"Marcus"},{"family":"Sjödahl","given":"Gottfrid"},{"family":"Höglund","given":"Mattias"},{"family":"Steiniche","given":"Torben"},{"family":"Mogensen","given":"Karin"},{"family":"Reyniès","given":"Aurélien","non-dropping-particle":"de"},{"family":"Nawroth","given":"Roman"},{"family":"Jordan","given":"Brian"},{"family":"Lin","given":"Xiaoqi"},{"family":"Dragicevic","given":"Dejan"},{"family":"Ward","given":"Douglas G."},{"family":"Goel","given":"Anshita"},{"family":"Hurst","given":"Carolyn D."},{"family":"Raman","given":"Jay D."},{"family":"Warrick","given":"Joshua I."},{"family":"Segersten","given":"Ulrika"},{"family":"Sikic","given":"Danijel"},{"family":"Kessel","given":"Kim E. M.","non-dropping-particle":"van"},{"family":"Maurer","given":"Tobias"},{"family":"Meeks","given":"Joshua J."},{"family":"DeGraff","given":"David J."},{"family":"Bryan","given":"Richard T."},{"family":"Knowles","given":"Margaret A."},{"family":"Simic","given":"Tatjana"},{"family":"Hartmann","given":"Arndt"},{"family":"Zwarthoff","given":"Ellen C."},{"family":"Malmström","given":"Per-Uno"},{"family":"Malats","given":"Núria"},{"family":"Real","given":"Francisco X."},{"family":"Dyrskjøt","given":"Lars"}],"issued":{"date-parts":[["2021",4,16]]}}}],"schema":"https://github.com/citation-style-language/schema/raw/master/csl-citation.json"} </w:instrText>
      </w:r>
      <w:r w:rsidR="009D1FDA">
        <w:fldChar w:fldCharType="separate"/>
      </w:r>
      <w:r w:rsidR="00E434AF" w:rsidRPr="00E434AF">
        <w:rPr>
          <w:rFonts w:ascii="Times New Roman" w:hAnsi="Times New Roman" w:cs="Times New Roman"/>
          <w:kern w:val="0"/>
          <w:vertAlign w:val="superscript"/>
          <w:lang w:val="en-US"/>
        </w:rPr>
        <w:t>6</w:t>
      </w:r>
      <w:r w:rsidR="009D1FDA">
        <w:fldChar w:fldCharType="end"/>
      </w:r>
      <w:r w:rsidR="008E21C3">
        <w:t>.</w:t>
      </w:r>
      <w:r w:rsidR="009F2622">
        <w:t xml:space="preserve"> </w:t>
      </w:r>
      <w:r w:rsidR="009F2622">
        <w:rPr>
          <w:rFonts w:ascii="Times New Roman" w:hAnsi="Times New Roman" w:cs="Times New Roman"/>
        </w:rPr>
        <w:t xml:space="preserve">Future work should </w:t>
      </w:r>
      <w:r w:rsidR="00687D84">
        <w:rPr>
          <w:rFonts w:ascii="Times New Roman" w:hAnsi="Times New Roman" w:cs="Times New Roman"/>
        </w:rPr>
        <w:t>investigate</w:t>
      </w:r>
      <w:r w:rsidR="009F2622">
        <w:rPr>
          <w:rFonts w:ascii="Times New Roman" w:hAnsi="Times New Roman" w:cs="Times New Roman"/>
        </w:rPr>
        <w:t xml:space="preserve"> the use of unsupervised clustering </w:t>
      </w:r>
      <w:r w:rsidR="00687D84">
        <w:rPr>
          <w:rFonts w:ascii="Times New Roman" w:hAnsi="Times New Roman" w:cs="Times New Roman"/>
        </w:rPr>
        <w:t xml:space="preserve">on genomic data </w:t>
      </w:r>
      <w:r w:rsidR="009F2622">
        <w:rPr>
          <w:rFonts w:ascii="Times New Roman" w:hAnsi="Times New Roman" w:cs="Times New Roman"/>
        </w:rPr>
        <w:t xml:space="preserve">to identify new </w:t>
      </w:r>
      <w:r w:rsidR="003F5C25">
        <w:rPr>
          <w:rFonts w:ascii="Times New Roman" w:hAnsi="Times New Roman" w:cs="Times New Roman"/>
        </w:rPr>
        <w:t>groupings</w:t>
      </w:r>
      <w:r w:rsidR="009F2622">
        <w:rPr>
          <w:rFonts w:ascii="Times New Roman" w:hAnsi="Times New Roman" w:cs="Times New Roman"/>
        </w:rPr>
        <w:t xml:space="preserve">, with a focus on </w:t>
      </w:r>
      <w:r w:rsidR="003F5C25">
        <w:rPr>
          <w:rFonts w:ascii="Times New Roman" w:hAnsi="Times New Roman" w:cs="Times New Roman"/>
        </w:rPr>
        <w:t>those</w:t>
      </w:r>
      <w:r w:rsidR="009F2622">
        <w:rPr>
          <w:rFonts w:ascii="Times New Roman" w:hAnsi="Times New Roman" w:cs="Times New Roman"/>
        </w:rPr>
        <w:t xml:space="preserve"> that align well with </w:t>
      </w:r>
      <w:r w:rsidR="003F5C25">
        <w:rPr>
          <w:rFonts w:ascii="Times New Roman" w:hAnsi="Times New Roman" w:cs="Times New Roman"/>
        </w:rPr>
        <w:t xml:space="preserve">or expand upon </w:t>
      </w:r>
      <w:r w:rsidR="009F2622">
        <w:rPr>
          <w:rFonts w:ascii="Times New Roman" w:hAnsi="Times New Roman" w:cs="Times New Roman"/>
        </w:rPr>
        <w:t xml:space="preserve">pre-existing clinical labels. </w:t>
      </w:r>
    </w:p>
    <w:p w14:paraId="75A750E8" w14:textId="77777777" w:rsidR="00173E16" w:rsidRDefault="00173E16" w:rsidP="00D859A9">
      <w:pPr>
        <w:rPr>
          <w:rFonts w:ascii="Times New Roman" w:hAnsi="Times New Roman" w:cs="Times New Roman"/>
        </w:rPr>
      </w:pPr>
    </w:p>
    <w:p w14:paraId="7F99452F" w14:textId="1A4A88FD" w:rsidR="00192E64" w:rsidRPr="00192E64" w:rsidRDefault="002566E8" w:rsidP="00283B18">
      <w:pPr>
        <w:rPr>
          <w:rFonts w:ascii="Times New Roman" w:hAnsi="Times New Roman" w:cs="Times New Roman"/>
        </w:rPr>
      </w:pPr>
      <w:r w:rsidRPr="002566E8">
        <w:rPr>
          <w:rFonts w:ascii="Times New Roman" w:hAnsi="Times New Roman" w:cs="Times New Roman"/>
        </w:rPr>
        <w:t xml:space="preserve">The model </w:t>
      </w:r>
      <w:r>
        <w:rPr>
          <w:rFonts w:ascii="Times New Roman" w:hAnsi="Times New Roman" w:cs="Times New Roman"/>
        </w:rPr>
        <w:t>had</w:t>
      </w:r>
      <w:r w:rsidRPr="002566E8">
        <w:rPr>
          <w:rFonts w:ascii="Times New Roman" w:hAnsi="Times New Roman" w:cs="Times New Roman"/>
        </w:rPr>
        <w:t xml:space="preserve"> </w:t>
      </w:r>
      <w:r w:rsidR="00192E64">
        <w:rPr>
          <w:rFonts w:ascii="Times New Roman" w:hAnsi="Times New Roman" w:cs="Times New Roman"/>
        </w:rPr>
        <w:t xml:space="preserve">very </w:t>
      </w:r>
      <w:r>
        <w:rPr>
          <w:rFonts w:ascii="Times New Roman" w:hAnsi="Times New Roman" w:cs="Times New Roman"/>
        </w:rPr>
        <w:t>low</w:t>
      </w:r>
      <w:r w:rsidRPr="002566E8">
        <w:rPr>
          <w:rFonts w:ascii="Times New Roman" w:hAnsi="Times New Roman" w:cs="Times New Roman"/>
        </w:rPr>
        <w:t xml:space="preserve"> applicability to microarray data, as it was trained exclusively on RNA-seq datasets. Although z-score normalization enables the model to learn from the relative </w:t>
      </w:r>
      <w:r>
        <w:rPr>
          <w:rFonts w:ascii="Times New Roman" w:hAnsi="Times New Roman" w:cs="Times New Roman"/>
        </w:rPr>
        <w:t>shape</w:t>
      </w:r>
      <w:r w:rsidRPr="002566E8">
        <w:rPr>
          <w:rFonts w:ascii="Times New Roman" w:hAnsi="Times New Roman" w:cs="Times New Roman"/>
        </w:rPr>
        <w:t xml:space="preserve"> of the </w:t>
      </w:r>
      <w:r w:rsidR="00414B77">
        <w:rPr>
          <w:rFonts w:ascii="Times New Roman" w:hAnsi="Times New Roman" w:cs="Times New Roman"/>
        </w:rPr>
        <w:t xml:space="preserve">training </w:t>
      </w:r>
      <w:r w:rsidRPr="002566E8">
        <w:rPr>
          <w:rFonts w:ascii="Times New Roman" w:hAnsi="Times New Roman" w:cs="Times New Roman"/>
        </w:rPr>
        <w:t>data rather than absolute expression values</w:t>
      </w:r>
      <w:r>
        <w:rPr>
          <w:rFonts w:ascii="Times New Roman" w:hAnsi="Times New Roman" w:cs="Times New Roman"/>
        </w:rPr>
        <w:t>,</w:t>
      </w:r>
      <w:r w:rsidRPr="002566E8">
        <w:rPr>
          <w:rFonts w:ascii="Times New Roman" w:hAnsi="Times New Roman" w:cs="Times New Roman"/>
        </w:rPr>
        <w:t xml:space="preserve"> reliable reference means and standard deviations for both RNA-seq and microarray </w:t>
      </w:r>
      <w:r>
        <w:rPr>
          <w:rFonts w:ascii="Times New Roman" w:hAnsi="Times New Roman" w:cs="Times New Roman"/>
        </w:rPr>
        <w:t>are necessary</w:t>
      </w:r>
      <w:r w:rsidRPr="002566E8">
        <w:rPr>
          <w:rFonts w:ascii="Times New Roman" w:hAnsi="Times New Roman" w:cs="Times New Roman"/>
        </w:rPr>
        <w:t xml:space="preserve"> </w:t>
      </w:r>
      <w:r>
        <w:rPr>
          <w:rFonts w:ascii="Times New Roman" w:hAnsi="Times New Roman" w:cs="Times New Roman"/>
        </w:rPr>
        <w:t xml:space="preserve">for </w:t>
      </w:r>
      <w:r w:rsidRPr="002566E8">
        <w:rPr>
          <w:rFonts w:ascii="Times New Roman" w:hAnsi="Times New Roman" w:cs="Times New Roman"/>
        </w:rPr>
        <w:t>consistent transformation</w:t>
      </w:r>
      <w:r w:rsidR="00192E64">
        <w:rPr>
          <w:rFonts w:ascii="Times New Roman" w:hAnsi="Times New Roman" w:cs="Times New Roman"/>
        </w:rPr>
        <w:t xml:space="preserve"> of new data inputs</w:t>
      </w:r>
      <w:r w:rsidRPr="00192E64">
        <w:rPr>
          <w:rFonts w:ascii="Times New Roman" w:hAnsi="Times New Roman" w:cs="Times New Roman"/>
        </w:rPr>
        <w:t xml:space="preserve">. </w:t>
      </w:r>
      <w:r w:rsidR="00192E64" w:rsidRPr="00192E64">
        <w:rPr>
          <w:rFonts w:ascii="Times New Roman" w:hAnsi="Times New Roman" w:cs="Times New Roman"/>
        </w:rPr>
        <w:t xml:space="preserve">Future work should therefore focus on integrating RNA-seq and microarray data during model training through cross-platform normalization strategies, or on </w:t>
      </w:r>
      <w:r w:rsidR="00414B77">
        <w:rPr>
          <w:rFonts w:ascii="Times New Roman" w:hAnsi="Times New Roman" w:cs="Times New Roman"/>
        </w:rPr>
        <w:t>aggregating genes into</w:t>
      </w:r>
      <w:r w:rsidR="00192E64" w:rsidRPr="00192E64">
        <w:rPr>
          <w:rFonts w:ascii="Times New Roman" w:hAnsi="Times New Roman" w:cs="Times New Roman"/>
        </w:rPr>
        <w:t xml:space="preserve"> biologically meaningful gene sets that reduce platform-specific noise while preserving relevant biological signal</w:t>
      </w:r>
      <w:r w:rsidR="00192E64" w:rsidRPr="00192E64">
        <w:rPr>
          <w:rFonts w:ascii="Times New Roman" w:hAnsi="Times New Roman" w:cs="Times New Roman"/>
        </w:rPr>
        <w:t xml:space="preserve"> </w:t>
      </w:r>
      <w:r w:rsidR="008E21C3" w:rsidRPr="00192E64">
        <w:rPr>
          <w:rFonts w:ascii="Times New Roman" w:hAnsi="Times New Roman" w:cs="Times New Roman"/>
        </w:rPr>
        <w:fldChar w:fldCharType="begin"/>
      </w:r>
      <w:r w:rsidR="00306C9C">
        <w:rPr>
          <w:rFonts w:ascii="Times New Roman" w:hAnsi="Times New Roman" w:cs="Times New Roman"/>
        </w:rPr>
        <w:instrText xml:space="preserve"> ADDIN ZOTERO_ITEM CSL_CITATION {"citationID":"eAnTZFar","properties":{"unsorted":false,"formattedCitation":"\\super 7,8\\nosupersub{}","plainCitation":"7,8","noteIndex":0},"citationItems":[{"id":5875,"uris":["http://zotero.org/users/13045277/items/443PKA55"],"itemData":{"id":5875,"type":"article-journal","abstract":"Large compendia of gene expression data have proven valuable for the discovery of novel biological relationships. Historically, most available RNA assays were run on microarray, while RNA-seq is now the platform of choice for many new experiments. The data structure and distributions between the platforms differ, making it challenging to combine them directly. Here we perform supervised and unsupervised machine learning evaluations to assess which existing normalization methods are best suited for combining microarray and RNA-seq data. We find that quantile and Training Distribution Matching normalization allow for supervised and unsupervised model training on microarray and RNA-seq data simultaneously. Nonparanormal normalization and z-scores are also appropriate for some applications, including pathway analysis with Pathway-Level Information Extractor (PLIER). We demonstrate that it is possible to perform effective cross-platform normalization using existing methods to combine microarray and RNA-seq data for machine learning applications.","container-title":"Communications Biology","DOI":"10.1038/s42003-023-04588-6","ISSN":"2399-3642","issue":"1","journalAbbreviation":"Commun Biol","language":"en","license":"2023 The Author(s)","page":"222","publisher":"Nature Publishing Group","source":"www.nature.com","title":"Cross-platform normalization enables machine learning model training on microarray and RNA-seq data simultaneously","volume":"6","author":[{"family":"Foltz","given":"Steven M."},{"family":"Greene","given":"Casey S."},{"family":"Taroni","given":"Jaclyn N."}],"issued":{"date-parts":[["2023",2,25]]}}},{"id":5877,"uris":["http://zotero.org/users/13045277/items/ABQKSRMK"],"itemData":{"id":5877,"type":"article-journal","abstract":"The field of transcriptomics uses and measures mRNA as a proxy of gene expression. There are currently two major platforms in use for quantifying mRNA, microarray and RNA-Seq. Many comparative studies have shown that their results are not always consistent. In this study we aim to find a robust method to increase comparability of both platforms enabling data analysis of merged data from both platforms. We transformed high dimensional transcriptomics data from two different platforms into a lower dimensional, and biologically relevant dataset by calculating enrichment scores based on gene set collections for all samples. We compared the similarity between data from both platforms based on the raw data and on the enrichment scores. We show that the performed data transforms the data in a biologically relevant way and filters out noise which leads to increased platform concordance. We validate the procedure using predictive models built with microarray based enrichment scores to predict subtypes of breast cancer using enrichment scores based on sequenced data. Although microarray and RNA-Seq expression levels might appear different, transforming them into biologically relevant gene set enrichment scores significantly increases their correlation, which is a step forward in data integration of the two platforms. The gene set collections were shown to contain biologically relevant gene sets. More in-depth investigation on the effect of the composition, size, and number of gene sets that are used for the transformation is suggested for future research., The field of transcriptomics uses and measures mRNA as a proxy of gene expression. There are currently two major platforms in use for quantifying mRNA, microarray and RNA-Seq. Many comparative studies have shown that their results are not always consistent. In this study we aim to find a robust method to increase comparability of both platforms enabling data analysis of merged data from both platforms. We transformed the high dimensional transcriptomics data from the two different platforms into lower dimensional, and biologically relevant gene set scores. These gene sets were defined a-priori as specific combination of genes (e.g. up-regulated in a certain pathway). We observed that although microarray and RNA-Seq expression levels might appear different, using these gene sets to transform the data significantly increases their correlation. This is a step forward in data integration of the two platforms. More in-depth investigation on the effect of the composition, size, and number of gene sets that are used for the transformation is suggested for future research.","container-title":"PLoS Computational Biology","DOI":"10.1371/journal.pcbi.1008295","ISSN":"1553-734X","issue":"9","journalAbbreviation":"PLoS Comput Biol","page":"e1008295","PMID":"32997685","PMCID":"PMC7549825","source":"PubMed Central","title":"Increased comparability between RNA-Seq and microarray data by utilization of gene sets","volume":"16","author":[{"family":"Kloet","given":"Frans M.","non-dropping-particle":"van der"},{"family":"Buurmans","given":"Jeroen"},{"family":"Jonker","given":"Martijs J."},{"family":"Smilde","given":"Age K."},{"family":"Westerhuis","given":"Johan A."}],"issued":{"date-parts":[["2020",9,30]]}}}],"schema":"https://github.com/citation-style-language/schema/raw/master/csl-citation.json"} </w:instrText>
      </w:r>
      <w:r w:rsidR="008E21C3" w:rsidRPr="00192E64">
        <w:rPr>
          <w:rFonts w:ascii="Times New Roman" w:hAnsi="Times New Roman" w:cs="Times New Roman"/>
        </w:rPr>
        <w:fldChar w:fldCharType="separate"/>
      </w:r>
      <w:r w:rsidR="00E434AF" w:rsidRPr="00E434AF">
        <w:rPr>
          <w:rFonts w:ascii="Times New Roman" w:hAnsi="Times New Roman" w:cs="Times New Roman"/>
          <w:kern w:val="0"/>
          <w:vertAlign w:val="superscript"/>
          <w:lang w:val="en-US"/>
        </w:rPr>
        <w:t>7,8</w:t>
      </w:r>
      <w:r w:rsidR="008E21C3" w:rsidRPr="00192E64">
        <w:rPr>
          <w:rFonts w:ascii="Times New Roman" w:hAnsi="Times New Roman" w:cs="Times New Roman"/>
        </w:rPr>
        <w:fldChar w:fldCharType="end"/>
      </w:r>
      <w:r w:rsidR="008E21C3" w:rsidRPr="00192E64">
        <w:rPr>
          <w:rFonts w:ascii="Times New Roman" w:hAnsi="Times New Roman" w:cs="Times New Roman"/>
        </w:rPr>
        <w:t>.</w:t>
      </w:r>
    </w:p>
    <w:p w14:paraId="46A70BBA" w14:textId="77777777" w:rsidR="00192E64" w:rsidRDefault="00192E64">
      <w:pPr>
        <w:rPr>
          <w:rFonts w:ascii="Times New Roman" w:hAnsi="Times New Roman" w:cs="Times New Roman"/>
        </w:rPr>
      </w:pPr>
      <w:r>
        <w:rPr>
          <w:rFonts w:ascii="Times New Roman" w:hAnsi="Times New Roman" w:cs="Times New Roman"/>
        </w:rPr>
        <w:br w:type="page"/>
      </w:r>
    </w:p>
    <w:p w14:paraId="00082E20" w14:textId="77777777" w:rsidR="00E434AF" w:rsidRPr="00E434AF" w:rsidRDefault="00192E64" w:rsidP="00E434AF">
      <w:pPr>
        <w:pStyle w:val="Bibliography"/>
        <w:spacing w:line="240" w:lineRule="auto"/>
        <w:rPr>
          <w:rFonts w:ascii="Times New Roman" w:hAnsi="Times New Roman" w:cs="Times New Roman"/>
          <w:lang w:val="en-US"/>
        </w:rPr>
      </w:pPr>
      <w:r w:rsidRPr="00C50B69">
        <w:lastRenderedPageBreak/>
        <w:fldChar w:fldCharType="begin"/>
      </w:r>
      <w:r w:rsidR="00E434AF">
        <w:instrText xml:space="preserve"> ADDIN ZOTERO_BIBL {"uncited":[],"omitted":[],"custom":[]} CSL_BIBLIOGRAPHY </w:instrText>
      </w:r>
      <w:r w:rsidRPr="00C50B69">
        <w:fldChar w:fldCharType="separate"/>
      </w:r>
      <w:r w:rsidR="00E434AF" w:rsidRPr="00E434AF">
        <w:rPr>
          <w:rFonts w:ascii="Times New Roman" w:hAnsi="Times New Roman" w:cs="Times New Roman"/>
          <w:lang w:val="en-US"/>
        </w:rPr>
        <w:t>1.</w:t>
      </w:r>
      <w:r w:rsidR="00E434AF" w:rsidRPr="00E434AF">
        <w:rPr>
          <w:rFonts w:ascii="Times New Roman" w:hAnsi="Times New Roman" w:cs="Times New Roman"/>
          <w:lang w:val="en-US"/>
        </w:rPr>
        <w:tab/>
        <w:t xml:space="preserve">Lin, W., Pan, X., Zhang, C., Ye, B. &amp; Song, J. Impact of Age at Diagnosis of Bladder Cancer on Survival: A Surveillance, Epidemiology, and End Results-Based Study 2004-2015. </w:t>
      </w:r>
      <w:r w:rsidR="00E434AF" w:rsidRPr="00E434AF">
        <w:rPr>
          <w:rFonts w:ascii="Times New Roman" w:hAnsi="Times New Roman" w:cs="Times New Roman"/>
          <w:i/>
          <w:iCs/>
          <w:lang w:val="en-US"/>
        </w:rPr>
        <w:t>Cancer Control J. Moffitt Cancer Cent.</w:t>
      </w:r>
      <w:r w:rsidR="00E434AF" w:rsidRPr="00E434AF">
        <w:rPr>
          <w:rFonts w:ascii="Times New Roman" w:hAnsi="Times New Roman" w:cs="Times New Roman"/>
          <w:lang w:val="en-US"/>
        </w:rPr>
        <w:t xml:space="preserve"> </w:t>
      </w:r>
      <w:r w:rsidR="00E434AF" w:rsidRPr="00E434AF">
        <w:rPr>
          <w:rFonts w:ascii="Times New Roman" w:hAnsi="Times New Roman" w:cs="Times New Roman"/>
          <w:b/>
          <w:bCs/>
          <w:lang w:val="en-US"/>
        </w:rPr>
        <w:t>30</w:t>
      </w:r>
      <w:r w:rsidR="00E434AF" w:rsidRPr="00E434AF">
        <w:rPr>
          <w:rFonts w:ascii="Times New Roman" w:hAnsi="Times New Roman" w:cs="Times New Roman"/>
          <w:lang w:val="en-US"/>
        </w:rPr>
        <w:t>, 10732748231152322 (2023).</w:t>
      </w:r>
    </w:p>
    <w:p w14:paraId="54DE2A16"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2.</w:t>
      </w:r>
      <w:r w:rsidRPr="00E434AF">
        <w:rPr>
          <w:rFonts w:ascii="Times New Roman" w:hAnsi="Times New Roman" w:cs="Times New Roman"/>
          <w:lang w:val="en-US"/>
        </w:rPr>
        <w:tab/>
        <w:t xml:space="preserve">Chaudhary, P. </w:t>
      </w:r>
      <w:r w:rsidRPr="00E434AF">
        <w:rPr>
          <w:rFonts w:ascii="Times New Roman" w:hAnsi="Times New Roman" w:cs="Times New Roman"/>
          <w:i/>
          <w:iCs/>
          <w:lang w:val="en-US"/>
        </w:rPr>
        <w:t>et al.</w:t>
      </w:r>
      <w:r w:rsidRPr="00E434AF">
        <w:rPr>
          <w:rFonts w:ascii="Times New Roman" w:hAnsi="Times New Roman" w:cs="Times New Roman"/>
          <w:lang w:val="en-US"/>
        </w:rPr>
        <w:t xml:space="preserve"> Sex differences in bladder cancer: understanding biological and clinical implications. </w:t>
      </w:r>
      <w:r w:rsidRPr="00E434AF">
        <w:rPr>
          <w:rFonts w:ascii="Times New Roman" w:hAnsi="Times New Roman" w:cs="Times New Roman"/>
          <w:i/>
          <w:iCs/>
          <w:lang w:val="en-US"/>
        </w:rPr>
        <w:t>Biol. Sex Differ.</w:t>
      </w:r>
      <w:r w:rsidRPr="00E434AF">
        <w:rPr>
          <w:rFonts w:ascii="Times New Roman" w:hAnsi="Times New Roman" w:cs="Times New Roman"/>
          <w:lang w:val="en-US"/>
        </w:rPr>
        <w:t xml:space="preserve"> </w:t>
      </w:r>
      <w:r w:rsidRPr="00E434AF">
        <w:rPr>
          <w:rFonts w:ascii="Times New Roman" w:hAnsi="Times New Roman" w:cs="Times New Roman"/>
          <w:b/>
          <w:bCs/>
          <w:lang w:val="en-US"/>
        </w:rPr>
        <w:t>16</w:t>
      </w:r>
      <w:r w:rsidRPr="00E434AF">
        <w:rPr>
          <w:rFonts w:ascii="Times New Roman" w:hAnsi="Times New Roman" w:cs="Times New Roman"/>
          <w:lang w:val="en-US"/>
        </w:rPr>
        <w:t>, 31 (2025).</w:t>
      </w:r>
    </w:p>
    <w:p w14:paraId="6A016B21"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3.</w:t>
      </w:r>
      <w:r w:rsidRPr="00E434AF">
        <w:rPr>
          <w:rFonts w:ascii="Times New Roman" w:hAnsi="Times New Roman" w:cs="Times New Roman"/>
          <w:lang w:val="en-US"/>
        </w:rPr>
        <w:tab/>
        <w:t xml:space="preserve">Wang, Y. </w:t>
      </w:r>
      <w:r w:rsidRPr="00E434AF">
        <w:rPr>
          <w:rFonts w:ascii="Times New Roman" w:hAnsi="Times New Roman" w:cs="Times New Roman"/>
          <w:i/>
          <w:iCs/>
          <w:lang w:val="en-US"/>
        </w:rPr>
        <w:t>et al.</w:t>
      </w:r>
      <w:r w:rsidRPr="00E434AF">
        <w:rPr>
          <w:rFonts w:ascii="Times New Roman" w:hAnsi="Times New Roman" w:cs="Times New Roman"/>
          <w:lang w:val="en-US"/>
        </w:rPr>
        <w:t xml:space="preserve"> Smoking and bladder cancer: insights into pathogenesis and public health implications from a bibliometric analysis (1999–2023). </w:t>
      </w:r>
      <w:r w:rsidRPr="00E434AF">
        <w:rPr>
          <w:rFonts w:ascii="Times New Roman" w:hAnsi="Times New Roman" w:cs="Times New Roman"/>
          <w:i/>
          <w:iCs/>
          <w:lang w:val="en-US"/>
        </w:rPr>
        <w:t>Subst. Abuse Treat. Prev. Policy</w:t>
      </w:r>
      <w:r w:rsidRPr="00E434AF">
        <w:rPr>
          <w:rFonts w:ascii="Times New Roman" w:hAnsi="Times New Roman" w:cs="Times New Roman"/>
          <w:lang w:val="en-US"/>
        </w:rPr>
        <w:t xml:space="preserve"> </w:t>
      </w:r>
      <w:r w:rsidRPr="00E434AF">
        <w:rPr>
          <w:rFonts w:ascii="Times New Roman" w:hAnsi="Times New Roman" w:cs="Times New Roman"/>
          <w:b/>
          <w:bCs/>
          <w:lang w:val="en-US"/>
        </w:rPr>
        <w:t>20</w:t>
      </w:r>
      <w:r w:rsidRPr="00E434AF">
        <w:rPr>
          <w:rFonts w:ascii="Times New Roman" w:hAnsi="Times New Roman" w:cs="Times New Roman"/>
          <w:lang w:val="en-US"/>
        </w:rPr>
        <w:t>, 25 (2025).</w:t>
      </w:r>
    </w:p>
    <w:p w14:paraId="5377AFFF"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4.</w:t>
      </w:r>
      <w:r w:rsidRPr="00E434AF">
        <w:rPr>
          <w:rFonts w:ascii="Times New Roman" w:hAnsi="Times New Roman" w:cs="Times New Roman"/>
          <w:lang w:val="en-US"/>
        </w:rPr>
        <w:tab/>
        <w:t xml:space="preserve">Gupta, S. </w:t>
      </w:r>
      <w:r w:rsidRPr="00E434AF">
        <w:rPr>
          <w:rFonts w:ascii="Times New Roman" w:hAnsi="Times New Roman" w:cs="Times New Roman"/>
          <w:i/>
          <w:iCs/>
          <w:lang w:val="en-US"/>
        </w:rPr>
        <w:t>et al.</w:t>
      </w:r>
      <w:r w:rsidRPr="00E434AF">
        <w:rPr>
          <w:rFonts w:ascii="Times New Roman" w:hAnsi="Times New Roman" w:cs="Times New Roman"/>
          <w:lang w:val="en-US"/>
        </w:rPr>
        <w:t xml:space="preserve"> Bladder Preservation Strategies in Muscle-invasive Bladder Cancer: Recommendations from the International Bladder Cancer Group. </w:t>
      </w:r>
      <w:r w:rsidRPr="00E434AF">
        <w:rPr>
          <w:rFonts w:ascii="Times New Roman" w:hAnsi="Times New Roman" w:cs="Times New Roman"/>
          <w:i/>
          <w:iCs/>
          <w:lang w:val="en-US"/>
        </w:rPr>
        <w:t>Eur. Urol.</w:t>
      </w:r>
      <w:r w:rsidRPr="00E434AF">
        <w:rPr>
          <w:rFonts w:ascii="Times New Roman" w:hAnsi="Times New Roman" w:cs="Times New Roman"/>
          <w:lang w:val="en-US"/>
        </w:rPr>
        <w:t xml:space="preserve"> </w:t>
      </w:r>
      <w:r w:rsidRPr="00E434AF">
        <w:rPr>
          <w:rFonts w:ascii="Times New Roman" w:hAnsi="Times New Roman" w:cs="Times New Roman"/>
          <w:b/>
          <w:bCs/>
          <w:lang w:val="en-US"/>
        </w:rPr>
        <w:t>89</w:t>
      </w:r>
      <w:r w:rsidRPr="00E434AF">
        <w:rPr>
          <w:rFonts w:ascii="Times New Roman" w:hAnsi="Times New Roman" w:cs="Times New Roman"/>
          <w:lang w:val="en-US"/>
        </w:rPr>
        <w:t>, 18–28 (2026).</w:t>
      </w:r>
    </w:p>
    <w:p w14:paraId="31A7AFC4"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5.</w:t>
      </w:r>
      <w:r w:rsidRPr="00E434AF">
        <w:rPr>
          <w:rFonts w:ascii="Times New Roman" w:hAnsi="Times New Roman" w:cs="Times New Roman"/>
          <w:lang w:val="en-US"/>
        </w:rPr>
        <w:tab/>
        <w:t xml:space="preserve">da Costa, J. B. </w:t>
      </w:r>
      <w:r w:rsidRPr="00E434AF">
        <w:rPr>
          <w:rFonts w:ascii="Times New Roman" w:hAnsi="Times New Roman" w:cs="Times New Roman"/>
          <w:i/>
          <w:iCs/>
          <w:lang w:val="en-US"/>
        </w:rPr>
        <w:t>et al.</w:t>
      </w:r>
      <w:r w:rsidRPr="00E434AF">
        <w:rPr>
          <w:rFonts w:ascii="Times New Roman" w:hAnsi="Times New Roman" w:cs="Times New Roman"/>
          <w:lang w:val="en-US"/>
        </w:rPr>
        <w:t xml:space="preserve"> Molecular tumor heterogeneity in muscle invasive bladder cancer: Biomarkers, subtypes, and implications for therapy. </w:t>
      </w:r>
      <w:r w:rsidRPr="00E434AF">
        <w:rPr>
          <w:rFonts w:ascii="Times New Roman" w:hAnsi="Times New Roman" w:cs="Times New Roman"/>
          <w:i/>
          <w:iCs/>
          <w:lang w:val="en-US"/>
        </w:rPr>
        <w:t xml:space="preserve">Urol. Oncol. Semin. Orig. </w:t>
      </w:r>
      <w:proofErr w:type="spellStart"/>
      <w:r w:rsidRPr="00E434AF">
        <w:rPr>
          <w:rFonts w:ascii="Times New Roman" w:hAnsi="Times New Roman" w:cs="Times New Roman"/>
          <w:i/>
          <w:iCs/>
          <w:lang w:val="en-US"/>
        </w:rPr>
        <w:t>Investig</w:t>
      </w:r>
      <w:proofErr w:type="spellEnd"/>
      <w:r w:rsidRPr="00E434AF">
        <w:rPr>
          <w:rFonts w:ascii="Times New Roman" w:hAnsi="Times New Roman" w:cs="Times New Roman"/>
          <w:i/>
          <w:iCs/>
          <w:lang w:val="en-US"/>
        </w:rPr>
        <w:t>.</w:t>
      </w:r>
      <w:r w:rsidRPr="00E434AF">
        <w:rPr>
          <w:rFonts w:ascii="Times New Roman" w:hAnsi="Times New Roman" w:cs="Times New Roman"/>
          <w:lang w:val="en-US"/>
        </w:rPr>
        <w:t xml:space="preserve"> </w:t>
      </w:r>
      <w:r w:rsidRPr="00E434AF">
        <w:rPr>
          <w:rFonts w:ascii="Times New Roman" w:hAnsi="Times New Roman" w:cs="Times New Roman"/>
          <w:b/>
          <w:bCs/>
          <w:lang w:val="en-US"/>
        </w:rPr>
        <w:t>40</w:t>
      </w:r>
      <w:r w:rsidRPr="00E434AF">
        <w:rPr>
          <w:rFonts w:ascii="Times New Roman" w:hAnsi="Times New Roman" w:cs="Times New Roman"/>
          <w:lang w:val="en-US"/>
        </w:rPr>
        <w:t>, 287–294 (2022).</w:t>
      </w:r>
    </w:p>
    <w:p w14:paraId="090EBBC9"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6.</w:t>
      </w:r>
      <w:r w:rsidRPr="00E434AF">
        <w:rPr>
          <w:rFonts w:ascii="Times New Roman" w:hAnsi="Times New Roman" w:cs="Times New Roman"/>
          <w:lang w:val="en-US"/>
        </w:rPr>
        <w:tab/>
        <w:t xml:space="preserve">Lindskrog, S. V. </w:t>
      </w:r>
      <w:r w:rsidRPr="00E434AF">
        <w:rPr>
          <w:rFonts w:ascii="Times New Roman" w:hAnsi="Times New Roman" w:cs="Times New Roman"/>
          <w:i/>
          <w:iCs/>
          <w:lang w:val="en-US"/>
        </w:rPr>
        <w:t>et al.</w:t>
      </w:r>
      <w:r w:rsidRPr="00E434AF">
        <w:rPr>
          <w:rFonts w:ascii="Times New Roman" w:hAnsi="Times New Roman" w:cs="Times New Roman"/>
          <w:lang w:val="en-US"/>
        </w:rPr>
        <w:t xml:space="preserve"> An integrated multi-omics analysis identifies prognostic molecular subtypes of non-muscle-invasive bladder cancer. </w:t>
      </w:r>
      <w:r w:rsidRPr="00E434AF">
        <w:rPr>
          <w:rFonts w:ascii="Times New Roman" w:hAnsi="Times New Roman" w:cs="Times New Roman"/>
          <w:i/>
          <w:iCs/>
          <w:lang w:val="en-US"/>
        </w:rPr>
        <w:t>Nat. Commun.</w:t>
      </w:r>
      <w:r w:rsidRPr="00E434AF">
        <w:rPr>
          <w:rFonts w:ascii="Times New Roman" w:hAnsi="Times New Roman" w:cs="Times New Roman"/>
          <w:lang w:val="en-US"/>
        </w:rPr>
        <w:t xml:space="preserve"> </w:t>
      </w:r>
      <w:r w:rsidRPr="00E434AF">
        <w:rPr>
          <w:rFonts w:ascii="Times New Roman" w:hAnsi="Times New Roman" w:cs="Times New Roman"/>
          <w:b/>
          <w:bCs/>
          <w:lang w:val="en-US"/>
        </w:rPr>
        <w:t>12</w:t>
      </w:r>
      <w:r w:rsidRPr="00E434AF">
        <w:rPr>
          <w:rFonts w:ascii="Times New Roman" w:hAnsi="Times New Roman" w:cs="Times New Roman"/>
          <w:lang w:val="en-US"/>
        </w:rPr>
        <w:t>, 2301 (2021).</w:t>
      </w:r>
    </w:p>
    <w:p w14:paraId="1546CFBC"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7.</w:t>
      </w:r>
      <w:r w:rsidRPr="00E434AF">
        <w:rPr>
          <w:rFonts w:ascii="Times New Roman" w:hAnsi="Times New Roman" w:cs="Times New Roman"/>
          <w:lang w:val="en-US"/>
        </w:rPr>
        <w:tab/>
        <w:t xml:space="preserve">Foltz, S. M., Greene, C. S. &amp; </w:t>
      </w:r>
      <w:proofErr w:type="spellStart"/>
      <w:r w:rsidRPr="00E434AF">
        <w:rPr>
          <w:rFonts w:ascii="Times New Roman" w:hAnsi="Times New Roman" w:cs="Times New Roman"/>
          <w:lang w:val="en-US"/>
        </w:rPr>
        <w:t>Taroni</w:t>
      </w:r>
      <w:proofErr w:type="spellEnd"/>
      <w:r w:rsidRPr="00E434AF">
        <w:rPr>
          <w:rFonts w:ascii="Times New Roman" w:hAnsi="Times New Roman" w:cs="Times New Roman"/>
          <w:lang w:val="en-US"/>
        </w:rPr>
        <w:t xml:space="preserve">, J. N. Cross-platform normalization enables machine learning model training on microarray and RNA-seq data simultaneously. </w:t>
      </w:r>
      <w:r w:rsidRPr="00E434AF">
        <w:rPr>
          <w:rFonts w:ascii="Times New Roman" w:hAnsi="Times New Roman" w:cs="Times New Roman"/>
          <w:i/>
          <w:iCs/>
          <w:lang w:val="en-US"/>
        </w:rPr>
        <w:t>Commun. Biol.</w:t>
      </w:r>
      <w:r w:rsidRPr="00E434AF">
        <w:rPr>
          <w:rFonts w:ascii="Times New Roman" w:hAnsi="Times New Roman" w:cs="Times New Roman"/>
          <w:lang w:val="en-US"/>
        </w:rPr>
        <w:t xml:space="preserve"> </w:t>
      </w:r>
      <w:r w:rsidRPr="00E434AF">
        <w:rPr>
          <w:rFonts w:ascii="Times New Roman" w:hAnsi="Times New Roman" w:cs="Times New Roman"/>
          <w:b/>
          <w:bCs/>
          <w:lang w:val="en-US"/>
        </w:rPr>
        <w:t>6</w:t>
      </w:r>
      <w:r w:rsidRPr="00E434AF">
        <w:rPr>
          <w:rFonts w:ascii="Times New Roman" w:hAnsi="Times New Roman" w:cs="Times New Roman"/>
          <w:lang w:val="en-US"/>
        </w:rPr>
        <w:t>, 222 (2023).</w:t>
      </w:r>
    </w:p>
    <w:p w14:paraId="589C1E3C" w14:textId="77777777" w:rsidR="00E434AF" w:rsidRPr="00E434AF" w:rsidRDefault="00E434AF" w:rsidP="00E434AF">
      <w:pPr>
        <w:pStyle w:val="Bibliography"/>
        <w:spacing w:line="240" w:lineRule="auto"/>
        <w:rPr>
          <w:rFonts w:ascii="Times New Roman" w:hAnsi="Times New Roman" w:cs="Times New Roman"/>
          <w:lang w:val="en-US"/>
        </w:rPr>
      </w:pPr>
      <w:r w:rsidRPr="00E434AF">
        <w:rPr>
          <w:rFonts w:ascii="Times New Roman" w:hAnsi="Times New Roman" w:cs="Times New Roman"/>
          <w:lang w:val="en-US"/>
        </w:rPr>
        <w:t>8.</w:t>
      </w:r>
      <w:r w:rsidRPr="00E434AF">
        <w:rPr>
          <w:rFonts w:ascii="Times New Roman" w:hAnsi="Times New Roman" w:cs="Times New Roman"/>
          <w:lang w:val="en-US"/>
        </w:rPr>
        <w:tab/>
        <w:t xml:space="preserve">van der Kloet, F. M., </w:t>
      </w:r>
      <w:proofErr w:type="spellStart"/>
      <w:r w:rsidRPr="00E434AF">
        <w:rPr>
          <w:rFonts w:ascii="Times New Roman" w:hAnsi="Times New Roman" w:cs="Times New Roman"/>
          <w:lang w:val="en-US"/>
        </w:rPr>
        <w:t>Buurmans</w:t>
      </w:r>
      <w:proofErr w:type="spellEnd"/>
      <w:r w:rsidRPr="00E434AF">
        <w:rPr>
          <w:rFonts w:ascii="Times New Roman" w:hAnsi="Times New Roman" w:cs="Times New Roman"/>
          <w:lang w:val="en-US"/>
        </w:rPr>
        <w:t xml:space="preserve">, J., Jonker, M. J., </w:t>
      </w:r>
      <w:proofErr w:type="spellStart"/>
      <w:r w:rsidRPr="00E434AF">
        <w:rPr>
          <w:rFonts w:ascii="Times New Roman" w:hAnsi="Times New Roman" w:cs="Times New Roman"/>
          <w:lang w:val="en-US"/>
        </w:rPr>
        <w:t>Smilde</w:t>
      </w:r>
      <w:proofErr w:type="spellEnd"/>
      <w:r w:rsidRPr="00E434AF">
        <w:rPr>
          <w:rFonts w:ascii="Times New Roman" w:hAnsi="Times New Roman" w:cs="Times New Roman"/>
          <w:lang w:val="en-US"/>
        </w:rPr>
        <w:t xml:space="preserve">, A. K. &amp; </w:t>
      </w:r>
      <w:proofErr w:type="spellStart"/>
      <w:r w:rsidRPr="00E434AF">
        <w:rPr>
          <w:rFonts w:ascii="Times New Roman" w:hAnsi="Times New Roman" w:cs="Times New Roman"/>
          <w:lang w:val="en-US"/>
        </w:rPr>
        <w:t>Westerhuis</w:t>
      </w:r>
      <w:proofErr w:type="spellEnd"/>
      <w:r w:rsidRPr="00E434AF">
        <w:rPr>
          <w:rFonts w:ascii="Times New Roman" w:hAnsi="Times New Roman" w:cs="Times New Roman"/>
          <w:lang w:val="en-US"/>
        </w:rPr>
        <w:t xml:space="preserve">, J. A. Increased comparability between RNA-Seq and microarray data by utilization of gene sets. </w:t>
      </w:r>
      <w:proofErr w:type="spellStart"/>
      <w:r w:rsidRPr="00E434AF">
        <w:rPr>
          <w:rFonts w:ascii="Times New Roman" w:hAnsi="Times New Roman" w:cs="Times New Roman"/>
          <w:i/>
          <w:iCs/>
          <w:lang w:val="en-US"/>
        </w:rPr>
        <w:t>PLoS</w:t>
      </w:r>
      <w:proofErr w:type="spellEnd"/>
      <w:r w:rsidRPr="00E434AF">
        <w:rPr>
          <w:rFonts w:ascii="Times New Roman" w:hAnsi="Times New Roman" w:cs="Times New Roman"/>
          <w:i/>
          <w:iCs/>
          <w:lang w:val="en-US"/>
        </w:rPr>
        <w:t xml:space="preserve"> </w:t>
      </w:r>
      <w:proofErr w:type="spellStart"/>
      <w:r w:rsidRPr="00E434AF">
        <w:rPr>
          <w:rFonts w:ascii="Times New Roman" w:hAnsi="Times New Roman" w:cs="Times New Roman"/>
          <w:i/>
          <w:iCs/>
          <w:lang w:val="en-US"/>
        </w:rPr>
        <w:t>Comput</w:t>
      </w:r>
      <w:proofErr w:type="spellEnd"/>
      <w:r w:rsidRPr="00E434AF">
        <w:rPr>
          <w:rFonts w:ascii="Times New Roman" w:hAnsi="Times New Roman" w:cs="Times New Roman"/>
          <w:i/>
          <w:iCs/>
          <w:lang w:val="en-US"/>
        </w:rPr>
        <w:t>. Biol.</w:t>
      </w:r>
      <w:r w:rsidRPr="00E434AF">
        <w:rPr>
          <w:rFonts w:ascii="Times New Roman" w:hAnsi="Times New Roman" w:cs="Times New Roman"/>
          <w:lang w:val="en-US"/>
        </w:rPr>
        <w:t xml:space="preserve"> </w:t>
      </w:r>
      <w:r w:rsidRPr="00E434AF">
        <w:rPr>
          <w:rFonts w:ascii="Times New Roman" w:hAnsi="Times New Roman" w:cs="Times New Roman"/>
          <w:b/>
          <w:bCs/>
          <w:lang w:val="en-US"/>
        </w:rPr>
        <w:t>16</w:t>
      </w:r>
      <w:r w:rsidRPr="00E434AF">
        <w:rPr>
          <w:rFonts w:ascii="Times New Roman" w:hAnsi="Times New Roman" w:cs="Times New Roman"/>
          <w:lang w:val="en-US"/>
        </w:rPr>
        <w:t>, e1008295 (2020).</w:t>
      </w:r>
    </w:p>
    <w:p w14:paraId="5A2E3279" w14:textId="7840D3D0" w:rsidR="008E33F9" w:rsidRPr="002566E8" w:rsidRDefault="00192E64" w:rsidP="00E434AF">
      <w:pPr>
        <w:pStyle w:val="Bibliography"/>
        <w:spacing w:line="240" w:lineRule="auto"/>
        <w:rPr>
          <w:rFonts w:ascii="Times New Roman" w:hAnsi="Times New Roman" w:cs="Times New Roman"/>
        </w:rPr>
      </w:pPr>
      <w:r w:rsidRPr="00C50B69">
        <w:rPr>
          <w:rFonts w:ascii="Times New Roman" w:hAnsi="Times New Roman" w:cs="Times New Roman"/>
        </w:rPr>
        <w:fldChar w:fldCharType="end"/>
      </w:r>
    </w:p>
    <w:sectPr w:rsidR="008E33F9" w:rsidRPr="002566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9E5"/>
    <w:multiLevelType w:val="hybridMultilevel"/>
    <w:tmpl w:val="890AB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766C9"/>
    <w:multiLevelType w:val="hybridMultilevel"/>
    <w:tmpl w:val="9A427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D59F2"/>
    <w:multiLevelType w:val="hybridMultilevel"/>
    <w:tmpl w:val="9E6C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2B4076"/>
    <w:multiLevelType w:val="hybridMultilevel"/>
    <w:tmpl w:val="5AAC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CD2B25"/>
    <w:multiLevelType w:val="hybridMultilevel"/>
    <w:tmpl w:val="5E902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20F56"/>
    <w:multiLevelType w:val="hybridMultilevel"/>
    <w:tmpl w:val="3654B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DD1AC1"/>
    <w:multiLevelType w:val="hybridMultilevel"/>
    <w:tmpl w:val="2964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897018">
    <w:abstractNumId w:val="5"/>
  </w:num>
  <w:num w:numId="2" w16cid:durableId="282661392">
    <w:abstractNumId w:val="1"/>
  </w:num>
  <w:num w:numId="3" w16cid:durableId="393894284">
    <w:abstractNumId w:val="0"/>
  </w:num>
  <w:num w:numId="4" w16cid:durableId="1673297441">
    <w:abstractNumId w:val="6"/>
  </w:num>
  <w:num w:numId="5" w16cid:durableId="1315643918">
    <w:abstractNumId w:val="3"/>
  </w:num>
  <w:num w:numId="6" w16cid:durableId="935476419">
    <w:abstractNumId w:val="4"/>
  </w:num>
  <w:num w:numId="7" w16cid:durableId="1478524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49"/>
    <w:rsid w:val="001609FA"/>
    <w:rsid w:val="00173E16"/>
    <w:rsid w:val="0017659C"/>
    <w:rsid w:val="00192E64"/>
    <w:rsid w:val="001B21B2"/>
    <w:rsid w:val="001B7334"/>
    <w:rsid w:val="001C5EB7"/>
    <w:rsid w:val="001D6E68"/>
    <w:rsid w:val="001E4D38"/>
    <w:rsid w:val="001F697C"/>
    <w:rsid w:val="00222906"/>
    <w:rsid w:val="0024486D"/>
    <w:rsid w:val="002566E8"/>
    <w:rsid w:val="00283B18"/>
    <w:rsid w:val="00306C9C"/>
    <w:rsid w:val="00332FAC"/>
    <w:rsid w:val="00357F57"/>
    <w:rsid w:val="0039115D"/>
    <w:rsid w:val="003D0316"/>
    <w:rsid w:val="003E2D94"/>
    <w:rsid w:val="003E715F"/>
    <w:rsid w:val="003F39CF"/>
    <w:rsid w:val="003F5C25"/>
    <w:rsid w:val="00414B77"/>
    <w:rsid w:val="00460B28"/>
    <w:rsid w:val="00477144"/>
    <w:rsid w:val="005F05E6"/>
    <w:rsid w:val="005F6D8D"/>
    <w:rsid w:val="00687D84"/>
    <w:rsid w:val="00693563"/>
    <w:rsid w:val="006B29F8"/>
    <w:rsid w:val="00711793"/>
    <w:rsid w:val="00716000"/>
    <w:rsid w:val="00747D5D"/>
    <w:rsid w:val="00753602"/>
    <w:rsid w:val="00794A18"/>
    <w:rsid w:val="007D4C00"/>
    <w:rsid w:val="008106AE"/>
    <w:rsid w:val="00863754"/>
    <w:rsid w:val="00877867"/>
    <w:rsid w:val="008920C5"/>
    <w:rsid w:val="008C1575"/>
    <w:rsid w:val="008C4B46"/>
    <w:rsid w:val="008C6B06"/>
    <w:rsid w:val="008C6E2E"/>
    <w:rsid w:val="008D7AA4"/>
    <w:rsid w:val="008E21C3"/>
    <w:rsid w:val="008E33F9"/>
    <w:rsid w:val="0091470D"/>
    <w:rsid w:val="00931EAA"/>
    <w:rsid w:val="009644EF"/>
    <w:rsid w:val="009D1FDA"/>
    <w:rsid w:val="009F2622"/>
    <w:rsid w:val="00A62606"/>
    <w:rsid w:val="00A66B4C"/>
    <w:rsid w:val="00AB5E2B"/>
    <w:rsid w:val="00AE67C3"/>
    <w:rsid w:val="00B80EC6"/>
    <w:rsid w:val="00B85583"/>
    <w:rsid w:val="00BB4878"/>
    <w:rsid w:val="00C50B69"/>
    <w:rsid w:val="00C62A80"/>
    <w:rsid w:val="00C65347"/>
    <w:rsid w:val="00CA7D36"/>
    <w:rsid w:val="00CC3EB9"/>
    <w:rsid w:val="00D13B01"/>
    <w:rsid w:val="00D32768"/>
    <w:rsid w:val="00D65EA8"/>
    <w:rsid w:val="00D859A9"/>
    <w:rsid w:val="00E11853"/>
    <w:rsid w:val="00E12965"/>
    <w:rsid w:val="00E434AF"/>
    <w:rsid w:val="00EA7E91"/>
    <w:rsid w:val="00F115BB"/>
    <w:rsid w:val="00F64F49"/>
    <w:rsid w:val="00FE25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B93C"/>
  <w15:chartTrackingRefBased/>
  <w15:docId w15:val="{8BC79EB7-B970-FB48-A274-D6454797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3"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F49"/>
    <w:rPr>
      <w:rFonts w:eastAsiaTheme="majorEastAsia" w:cstheme="majorBidi"/>
      <w:color w:val="272727" w:themeColor="text1" w:themeTint="D8"/>
    </w:rPr>
  </w:style>
  <w:style w:type="paragraph" w:styleId="Title">
    <w:name w:val="Title"/>
    <w:basedOn w:val="Normal"/>
    <w:next w:val="Normal"/>
    <w:link w:val="TitleChar"/>
    <w:uiPriority w:val="10"/>
    <w:qFormat/>
    <w:rsid w:val="00F64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F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F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4F49"/>
    <w:rPr>
      <w:i/>
      <w:iCs/>
      <w:color w:val="404040" w:themeColor="text1" w:themeTint="BF"/>
    </w:rPr>
  </w:style>
  <w:style w:type="paragraph" w:styleId="ListParagraph">
    <w:name w:val="List Paragraph"/>
    <w:basedOn w:val="Normal"/>
    <w:uiPriority w:val="34"/>
    <w:qFormat/>
    <w:rsid w:val="00F64F49"/>
    <w:pPr>
      <w:ind w:left="720"/>
      <w:contextualSpacing/>
    </w:pPr>
  </w:style>
  <w:style w:type="character" w:styleId="IntenseEmphasis">
    <w:name w:val="Intense Emphasis"/>
    <w:basedOn w:val="DefaultParagraphFont"/>
    <w:uiPriority w:val="21"/>
    <w:qFormat/>
    <w:rsid w:val="00F64F49"/>
    <w:rPr>
      <w:i/>
      <w:iCs/>
      <w:color w:val="0F4761" w:themeColor="accent1" w:themeShade="BF"/>
    </w:rPr>
  </w:style>
  <w:style w:type="paragraph" w:styleId="IntenseQuote">
    <w:name w:val="Intense Quote"/>
    <w:basedOn w:val="Normal"/>
    <w:next w:val="Normal"/>
    <w:link w:val="IntenseQuoteChar"/>
    <w:uiPriority w:val="30"/>
    <w:qFormat/>
    <w:rsid w:val="00F64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F49"/>
    <w:rPr>
      <w:i/>
      <w:iCs/>
      <w:color w:val="0F4761" w:themeColor="accent1" w:themeShade="BF"/>
    </w:rPr>
  </w:style>
  <w:style w:type="character" w:styleId="IntenseReference">
    <w:name w:val="Intense Reference"/>
    <w:basedOn w:val="DefaultParagraphFont"/>
    <w:uiPriority w:val="32"/>
    <w:qFormat/>
    <w:rsid w:val="00F64F49"/>
    <w:rPr>
      <w:b/>
      <w:bCs/>
      <w:smallCaps/>
      <w:color w:val="0F4761" w:themeColor="accent1" w:themeShade="BF"/>
      <w:spacing w:val="5"/>
    </w:rPr>
  </w:style>
  <w:style w:type="character" w:styleId="Strong">
    <w:name w:val="Strong"/>
    <w:basedOn w:val="DefaultParagraphFont"/>
    <w:uiPriority w:val="22"/>
    <w:qFormat/>
    <w:rsid w:val="003E2D94"/>
    <w:rPr>
      <w:b/>
      <w:bCs/>
    </w:rPr>
  </w:style>
  <w:style w:type="paragraph" w:styleId="NormalWeb">
    <w:name w:val="Normal (Web)"/>
    <w:basedOn w:val="Normal"/>
    <w:uiPriority w:val="99"/>
    <w:semiHidden/>
    <w:unhideWhenUsed/>
    <w:rsid w:val="009D1F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
    <w:name w:val="highlight"/>
    <w:basedOn w:val="DefaultParagraphFont"/>
    <w:rsid w:val="009D1FDA"/>
  </w:style>
  <w:style w:type="character" w:styleId="Hyperlink">
    <w:name w:val="Hyperlink"/>
    <w:basedOn w:val="DefaultParagraphFont"/>
    <w:uiPriority w:val="99"/>
    <w:semiHidden/>
    <w:unhideWhenUsed/>
    <w:rsid w:val="009D1FDA"/>
    <w:rPr>
      <w:color w:val="0000FF"/>
      <w:u w:val="single"/>
    </w:rPr>
  </w:style>
  <w:style w:type="paragraph" w:styleId="Bibliography">
    <w:name w:val="Bibliography"/>
    <w:basedOn w:val="Normal"/>
    <w:next w:val="Normal"/>
    <w:uiPriority w:val="37"/>
    <w:unhideWhenUsed/>
    <w:rsid w:val="009D1FDA"/>
    <w:pPr>
      <w:tabs>
        <w:tab w:val="left" w:pos="260"/>
      </w:tabs>
      <w:spacing w:after="0" w:line="480" w:lineRule="auto"/>
      <w:ind w:left="264" w:hanging="264"/>
    </w:pPr>
  </w:style>
  <w:style w:type="character" w:styleId="CommentReference">
    <w:name w:val="annotation reference"/>
    <w:basedOn w:val="DefaultParagraphFont"/>
    <w:uiPriority w:val="99"/>
    <w:semiHidden/>
    <w:unhideWhenUsed/>
    <w:rsid w:val="003F5C25"/>
    <w:rPr>
      <w:sz w:val="16"/>
      <w:szCs w:val="16"/>
    </w:rPr>
  </w:style>
  <w:style w:type="paragraph" w:styleId="CommentText">
    <w:name w:val="annotation text"/>
    <w:basedOn w:val="Normal"/>
    <w:link w:val="CommentTextChar"/>
    <w:uiPriority w:val="99"/>
    <w:semiHidden/>
    <w:unhideWhenUsed/>
    <w:rsid w:val="003F5C25"/>
    <w:pPr>
      <w:spacing w:line="240" w:lineRule="auto"/>
    </w:pPr>
    <w:rPr>
      <w:sz w:val="20"/>
      <w:szCs w:val="20"/>
    </w:rPr>
  </w:style>
  <w:style w:type="character" w:customStyle="1" w:styleId="CommentTextChar">
    <w:name w:val="Comment Text Char"/>
    <w:basedOn w:val="DefaultParagraphFont"/>
    <w:link w:val="CommentText"/>
    <w:uiPriority w:val="99"/>
    <w:semiHidden/>
    <w:rsid w:val="003F5C25"/>
    <w:rPr>
      <w:sz w:val="20"/>
      <w:szCs w:val="20"/>
    </w:rPr>
  </w:style>
  <w:style w:type="paragraph" w:styleId="CommentSubject">
    <w:name w:val="annotation subject"/>
    <w:basedOn w:val="CommentText"/>
    <w:next w:val="CommentText"/>
    <w:link w:val="CommentSubjectChar"/>
    <w:uiPriority w:val="99"/>
    <w:semiHidden/>
    <w:unhideWhenUsed/>
    <w:rsid w:val="003F5C25"/>
    <w:rPr>
      <w:b/>
      <w:bCs/>
    </w:rPr>
  </w:style>
  <w:style w:type="character" w:customStyle="1" w:styleId="CommentSubjectChar">
    <w:name w:val="Comment Subject Char"/>
    <w:basedOn w:val="CommentTextChar"/>
    <w:link w:val="CommentSubject"/>
    <w:uiPriority w:val="99"/>
    <w:semiHidden/>
    <w:rsid w:val="003F5C25"/>
    <w:rPr>
      <w:b/>
      <w:bCs/>
      <w:sz w:val="20"/>
      <w:szCs w:val="20"/>
    </w:rPr>
  </w:style>
  <w:style w:type="table" w:styleId="TableGrid">
    <w:name w:val="Table Grid"/>
    <w:basedOn w:val="TableNormal"/>
    <w:uiPriority w:val="39"/>
    <w:rsid w:val="001B7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A6777-A8E4-E14B-9BC1-2F8785D5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4867</Words>
  <Characters>26285</Characters>
  <Application>Microsoft Office Word</Application>
  <DocSecurity>0</DocSecurity>
  <Lines>973</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Choi</dc:creator>
  <cp:keywords/>
  <dc:description/>
  <cp:lastModifiedBy>Ryan Choi</cp:lastModifiedBy>
  <cp:revision>2</cp:revision>
  <cp:lastPrinted>2026-02-07T04:52:00Z</cp:lastPrinted>
  <dcterms:created xsi:type="dcterms:W3CDTF">2026-02-07T05:11:00Z</dcterms:created>
  <dcterms:modified xsi:type="dcterms:W3CDTF">2026-02-07T05:11:00Z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id="GDuUouqt"/&gt;&lt;style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