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40"/>
          <w:szCs w:val="40"/>
        </w:rPr>
        <w:t xml:space="preserve">Rishabh Jain</w:t>
      </w:r>
    </w:p>
    <w:p>
      <w:pPr>
        <w:spacing w:after="40"/>
      </w:pPr>
      <w:r>
        <w:rPr>
          <w:rFonts w:ascii="Calibri" w:cs="Calibri" w:eastAsia="Calibri" w:hAnsi="Calibri"/>
          <w:sz w:val="22"/>
          <w:szCs w:val="22"/>
        </w:rPr>
        <w:t xml:space="preserve">Program Manager | Portfolio Manager | Digital Transformation</w:t>
      </w:r>
    </w:p>
    <w:p>
      <w:pPr>
        <w:spacing w:after="120"/>
      </w:pPr>
      <w:r>
        <w:rPr>
          <w:rFonts w:ascii="Calibri" w:cs="Calibri" w:eastAsia="Calibri" w:hAnsi="Calibri"/>
          <w:sz w:val="21"/>
          <w:szCs w:val="21"/>
        </w:rPr>
        <w:t xml:space="preserve">New Delhi, India  |  +91 88999 91991  |  rishabh.jain@outlook.in  |  linkedin.com/in/notrishabhjain</w:t>
      </w:r>
    </w:p>
    <w:p>
      <w:pPr>
        <w:pStyle w:val="Heading1"/>
        <w:pBdr>
          <w:bottom w:val="single" w:color="000000" w:sz="6" w:space="2"/>
        </w:pBdr>
        <w:spacing w:after="100" w:before="260"/>
      </w:pPr>
      <w:r>
        <w:rPr>
          <w:rFonts w:ascii="Calibri" w:cs="Calibri" w:eastAsia="Calibri" w:hAnsi="Calibri"/>
          <w:b/>
          <w:bCs/>
          <w:color w:val="000000"/>
          <w:sz w:val="23"/>
          <w:szCs w:val="23"/>
        </w:rPr>
        <w:t xml:space="preserve">PROFESSIONAL SUMMARY</w:t>
      </w:r>
    </w:p>
    <w:p>
      <w:pPr>
        <w:spacing w:after="40" w:before="40"/>
      </w:pPr>
      <w:r>
        <w:rPr>
          <w:rFonts w:ascii="Calibri" w:cs="Calibri" w:eastAsia="Calibri" w:hAnsi="Calibri"/>
          <w:sz w:val="21"/>
          <w:szCs w:val="21"/>
        </w:rPr>
        <w:t xml:space="preserve">Program and portfolio manager with 11 years delivering digital transformation for Government of India ministries and global enterprise clients. Owns the full delivery surface — team, client, commercials, technology and governance — across portfolios valued at $2M+ annually. Took a national pay commission platform from approved proposal to live production in a month; led a green hydrogen certification portal to a ministerial launch; turned a loss-making US enterprise account net positive while right-sizing its delivery team by half. Six years of hands-on engineering — MERN, Hyperledger Fabric, cloud infrastructure — underpins direct technical engagement with delivery teams rather than relayed instruction.</w:t>
      </w:r>
    </w:p>
    <w:p>
      <w:pPr>
        <w:pStyle w:val="Heading1"/>
        <w:pBdr>
          <w:bottom w:val="single" w:color="000000" w:sz="6" w:space="2"/>
        </w:pBdr>
        <w:spacing w:after="100" w:before="260"/>
      </w:pPr>
      <w:r>
        <w:rPr>
          <w:rFonts w:ascii="Calibri" w:cs="Calibri" w:eastAsia="Calibri" w:hAnsi="Calibri"/>
          <w:b/>
          <w:bCs/>
          <w:color w:val="000000"/>
          <w:sz w:val="23"/>
          <w:szCs w:val="23"/>
        </w:rPr>
        <w:t xml:space="preserve">CORE COMPETENCIES</w:t>
      </w:r>
    </w:p>
    <w:p>
      <w:pPr>
        <w:spacing w:after="60" w:before="60"/>
      </w:pPr>
      <w:r>
        <w:rPr>
          <w:rFonts w:ascii="Calibri" w:cs="Calibri" w:eastAsia="Calibri" w:hAnsi="Calibri"/>
          <w:b/>
          <w:bCs/>
          <w:sz w:val="21"/>
          <w:szCs w:val="21"/>
        </w:rPr>
        <w:t xml:space="preserve">Delivery and Governance: </w:t>
      </w:r>
      <w:r>
        <w:rPr>
          <w:rFonts w:ascii="Calibri" w:cs="Calibri" w:eastAsia="Calibri" w:hAnsi="Calibri"/>
          <w:sz w:val="21"/>
          <w:szCs w:val="21"/>
        </w:rPr>
        <w:t xml:space="preserve">Programme governance, PMO setup, RACI definition, risk registers, milestone dashboards, delivery stabilisation, escalation frameworks, Agile, Scrum, Waterfall, hybrid delivery, executive and Secretary-level reporting</w:t>
      </w:r>
    </w:p>
    <w:p>
      <w:pPr>
        <w:spacing w:after="60" w:before="60"/>
      </w:pPr>
      <w:r>
        <w:rPr>
          <w:rFonts w:ascii="Calibri" w:cs="Calibri" w:eastAsia="Calibri" w:hAnsi="Calibri"/>
          <w:b/>
          <w:bCs/>
          <w:sz w:val="21"/>
          <w:szCs w:val="21"/>
        </w:rPr>
        <w:t xml:space="preserve">Commercial: </w:t>
      </w:r>
      <w:r>
        <w:rPr>
          <w:rFonts w:ascii="Calibri" w:cs="Calibri" w:eastAsia="Calibri" w:hAnsi="Calibri"/>
          <w:sz w:val="21"/>
          <w:szCs w:val="21"/>
        </w:rPr>
        <w:t xml:space="preserve">SOW and contract management, RFP, RFQ and DPR authoring, technical proposal writing, infrastructure cost estimation (NICSI, AWS), portfolio budgeting, vendor performance monitoring, P&amp;L turnaround, resource optimisation</w:t>
      </w:r>
    </w:p>
    <w:p>
      <w:pPr>
        <w:spacing w:after="60" w:before="60"/>
      </w:pPr>
      <w:r>
        <w:rPr>
          <w:rFonts w:ascii="Calibri" w:cs="Calibri" w:eastAsia="Calibri" w:hAnsi="Calibri"/>
          <w:b/>
          <w:bCs/>
          <w:sz w:val="21"/>
          <w:szCs w:val="21"/>
        </w:rPr>
        <w:t xml:space="preserve">Technology: </w:t>
      </w:r>
      <w:r>
        <w:rPr>
          <w:rFonts w:ascii="Calibri" w:cs="Calibri" w:eastAsia="Calibri" w:hAnsi="Calibri"/>
          <w:sz w:val="21"/>
          <w:szCs w:val="21"/>
        </w:rPr>
        <w:t xml:space="preserve">MERN stack, React, TypeScript, REST API design, system architecture, Hyperledger Fabric, cloud modernisation (AWS, NIC MeghRaj), CI/CD, applied AI and LLM integration</w:t>
      </w:r>
    </w:p>
    <w:p>
      <w:pPr>
        <w:spacing w:after="60" w:before="60"/>
      </w:pPr>
      <w:r>
        <w:rPr>
          <w:rFonts w:ascii="Calibri" w:cs="Calibri" w:eastAsia="Calibri" w:hAnsi="Calibri"/>
          <w:b/>
          <w:bCs/>
          <w:sz w:val="21"/>
          <w:szCs w:val="21"/>
        </w:rPr>
        <w:t xml:space="preserve">Design and Compliance: </w:t>
      </w:r>
      <w:r>
        <w:rPr>
          <w:rFonts w:ascii="Calibri" w:cs="Calibri" w:eastAsia="Calibri" w:hAnsi="Calibri"/>
          <w:sz w:val="21"/>
          <w:szCs w:val="21"/>
        </w:rPr>
        <w:t xml:space="preserve">UX and UI leadership, Figma design systems, WCAG 2.1 AA, GIGW, UX4G, CERT-In security compliance, accessibility audit</w:t>
      </w:r>
    </w:p>
    <w:p>
      <w:pPr>
        <w:spacing w:after="60" w:before="60"/>
      </w:pPr>
      <w:r>
        <w:rPr>
          <w:rFonts w:ascii="Calibri" w:cs="Calibri" w:eastAsia="Calibri" w:hAnsi="Calibri"/>
          <w:b/>
          <w:bCs/>
          <w:sz w:val="21"/>
          <w:szCs w:val="21"/>
        </w:rPr>
        <w:t xml:space="preserve">Tools: </w:t>
      </w:r>
      <w:r>
        <w:rPr>
          <w:rFonts w:ascii="Calibri" w:cs="Calibri" w:eastAsia="Calibri" w:hAnsi="Calibri"/>
          <w:sz w:val="21"/>
          <w:szCs w:val="21"/>
        </w:rPr>
        <w:t xml:space="preserve">Jira, Confluence, Figma, MS Project, GitHub</w:t>
      </w:r>
    </w:p>
    <w:p>
      <w:pPr>
        <w:pStyle w:val="Heading1"/>
        <w:pBdr>
          <w:bottom w:val="single" w:color="000000" w:sz="6" w:space="2"/>
        </w:pBdr>
        <w:spacing w:after="100" w:before="260"/>
      </w:pPr>
      <w:r>
        <w:rPr>
          <w:rFonts w:ascii="Calibri" w:cs="Calibri" w:eastAsia="Calibri" w:hAnsi="Calibri"/>
          <w:b/>
          <w:bCs/>
          <w:color w:val="000000"/>
          <w:sz w:val="23"/>
          <w:szCs w:val="23"/>
        </w:rPr>
        <w:t xml:space="preserve">PROFESSIONAL EXPERIENCE</w:t>
      </w:r>
    </w:p>
    <w:p>
      <w:pPr>
        <w:spacing w:after="0" w:before="180"/>
      </w:pPr>
      <w:r>
        <w:rPr>
          <w:rFonts w:ascii="Calibri" w:cs="Calibri" w:eastAsia="Calibri" w:hAnsi="Calibri"/>
          <w:b/>
          <w:bCs/>
          <w:sz w:val="22"/>
          <w:szCs w:val="22"/>
        </w:rPr>
        <w:t xml:space="preserve">Manager, Digital Transformation — BDO India</w:t>
      </w:r>
    </w:p>
    <w:p>
      <w:pPr>
        <w:spacing w:after="60" w:before="0"/>
      </w:pPr>
      <w:r>
        <w:rPr>
          <w:rFonts w:ascii="Calibri" w:cs="Calibri" w:eastAsia="Calibri" w:hAnsi="Calibri"/>
          <w:i/>
          <w:iCs/>
          <w:sz w:val="21"/>
          <w:szCs w:val="21"/>
        </w:rPr>
        <w:t xml:space="preserve">New Delhi  |  January 2026 – Present</w:t>
      </w:r>
    </w:p>
    <w:p>
      <w:pPr>
        <w:spacing w:after="60" w:before="0"/>
      </w:pPr>
      <w:r>
        <w:rPr>
          <w:rFonts w:ascii="Calibri" w:cs="Calibri" w:eastAsia="Calibri" w:hAnsi="Calibri"/>
          <w:i/>
          <w:iCs/>
          <w:sz w:val="21"/>
          <w:szCs w:val="21"/>
        </w:rPr>
        <w:t xml:space="preserve">Client: National e-Governance Division (NeGD), Ministry of Electronics and IT</w:t>
      </w:r>
    </w:p>
    <w:p>
      <w:pPr>
        <w:pStyle w:val="ListParagraph"/>
        <w:numPr>
          <w:ilvl w:val="0"/>
          <w:numId w:val="2"/>
        </w:numPr>
        <w:spacing w:after="20" w:before="20"/>
      </w:pPr>
      <w:r>
        <w:rPr>
          <w:rFonts w:ascii="Calibri" w:cs="Calibri" w:eastAsia="Calibri" w:hAnsi="Calibri"/>
          <w:sz w:val="21"/>
          <w:szCs w:val="21"/>
        </w:rPr>
        <w:t xml:space="preserve">Lead delivery and design across three concurrent Government of India platforms — Green Hydrogen Certification (MNRE), 8th Central Pay Commission Memorandum Review Management System, and the Textile Unified Portal (Ministry of Textiles) — on independent timelines and stakeholder tracks.</w:t>
      </w:r>
    </w:p>
    <w:p>
      <w:pPr>
        <w:pStyle w:val="ListParagraph"/>
        <w:numPr>
          <w:ilvl w:val="0"/>
          <w:numId w:val="2"/>
        </w:numPr>
        <w:spacing w:after="20" w:before="20"/>
      </w:pPr>
      <w:r>
        <w:rPr>
          <w:rFonts w:ascii="Calibri" w:cs="Calibri" w:eastAsia="Calibri" w:hAnsi="Calibri"/>
          <w:sz w:val="21"/>
          <w:szCs w:val="21"/>
        </w:rPr>
        <w:t xml:space="preserve">Delivered the 8th CPC memorandum review system from accepted proposal to live production in one month on NIC MeghRaj, coordinating development, multiple vendors and DevOps to provision infrastructure and integrate third-party services while running hosting approvals in parallel with the build.</w:t>
      </w:r>
    </w:p>
    <w:p>
      <w:pPr>
        <w:pStyle w:val="ListParagraph"/>
        <w:numPr>
          <w:ilvl w:val="0"/>
          <w:numId w:val="2"/>
        </w:numPr>
        <w:spacing w:after="20" w:before="20"/>
      </w:pPr>
      <w:r>
        <w:rPr>
          <w:rFonts w:ascii="Calibri" w:cs="Calibri" w:eastAsia="Calibri" w:hAnsi="Calibri"/>
          <w:sz w:val="21"/>
          <w:szCs w:val="21"/>
        </w:rPr>
        <w:t xml:space="preserve">Authored the two-phase technical and commercial proposal for the 8th CPC platform — MERN architecture, Parichay SSO, NIC MeghRaj 2.0 hosting and a Phase 2 AI services roadmap — with infrastructure costed against live NICSI rate cards; accepted at procurement.</w:t>
      </w:r>
    </w:p>
    <w:p>
      <w:pPr>
        <w:pStyle w:val="ListParagraph"/>
        <w:numPr>
          <w:ilvl w:val="0"/>
          <w:numId w:val="2"/>
        </w:numPr>
        <w:spacing w:after="20" w:before="20"/>
      </w:pPr>
      <w:r>
        <w:rPr>
          <w:rFonts w:ascii="Calibri" w:cs="Calibri" w:eastAsia="Calibri" w:hAnsi="Calibri"/>
          <w:sz w:val="21"/>
          <w:szCs w:val="21"/>
        </w:rPr>
        <w:t xml:space="preserve">Led the Green Hydrogen Certification portal to launch in July 2026, inaugurated by the Minister at a public function with national media coverage; stakeholders are registering and processing certifications, with AI-enabled Phase 2 features in development.</w:t>
      </w:r>
    </w:p>
    <w:p>
      <w:pPr>
        <w:pStyle w:val="ListParagraph"/>
        <w:numPr>
          <w:ilvl w:val="0"/>
          <w:numId w:val="2"/>
        </w:numPr>
        <w:spacing w:after="20" w:before="20"/>
      </w:pPr>
      <w:r>
        <w:rPr>
          <w:rFonts w:ascii="Calibri" w:cs="Calibri" w:eastAsia="Calibri" w:hAnsi="Calibri"/>
          <w:sz w:val="21"/>
          <w:szCs w:val="21"/>
        </w:rPr>
        <w:t xml:space="preserve">Designed the multi-stage memorandum examination and referral workflow spanning Processing Officer, Reviewing Officer and ministry response loops, converting a legacy spreadsheet process into a structured data model with dashboard KPIs and a configurable report builder.</w:t>
      </w:r>
    </w:p>
    <w:p>
      <w:pPr>
        <w:pStyle w:val="ListParagraph"/>
        <w:numPr>
          <w:ilvl w:val="0"/>
          <w:numId w:val="2"/>
        </w:numPr>
        <w:spacing w:after="20" w:before="20"/>
      </w:pPr>
      <w:r>
        <w:rPr>
          <w:rFonts w:ascii="Calibri" w:cs="Calibri" w:eastAsia="Calibri" w:hAnsi="Calibri"/>
          <w:sz w:val="21"/>
          <w:szCs w:val="21"/>
        </w:rPr>
        <w:t xml:space="preserve">Authored the developer specification for certificate versioning, defining how issued green hydrogen certificates are amended, superseded and audited without breaking traceability.</w:t>
      </w:r>
    </w:p>
    <w:p>
      <w:pPr>
        <w:pStyle w:val="ListParagraph"/>
        <w:numPr>
          <w:ilvl w:val="0"/>
          <w:numId w:val="2"/>
        </w:numPr>
        <w:spacing w:after="20" w:before="20"/>
      </w:pPr>
      <w:r>
        <w:rPr>
          <w:rFonts w:ascii="Calibri" w:cs="Calibri" w:eastAsia="Calibri" w:hAnsi="Calibri"/>
          <w:sz w:val="21"/>
          <w:szCs w:val="21"/>
        </w:rPr>
        <w:t xml:space="preserve">Led UX and front-end design for GHCI: Figma specifications compliant with WCAG 2.1 AA, UX4G and GIGW, and React/TypeScript component builds for authentication and registration flows.</w:t>
      </w:r>
    </w:p>
    <w:p>
      <w:pPr>
        <w:pStyle w:val="ListParagraph"/>
        <w:numPr>
          <w:ilvl w:val="0"/>
          <w:numId w:val="2"/>
        </w:numPr>
        <w:spacing w:after="20" w:before="20"/>
      </w:pPr>
      <w:r>
        <w:rPr>
          <w:rFonts w:ascii="Calibri" w:cs="Calibri" w:eastAsia="Calibri" w:hAnsi="Calibri"/>
          <w:sz w:val="21"/>
          <w:szCs w:val="21"/>
        </w:rPr>
        <w:t xml:space="preserve">Drove GHCI to UAT with a complete test framework: 12 use case documents and a 39-case test workbook across 8 functional modules, with test plans and defect governance.</w:t>
      </w:r>
    </w:p>
    <w:p>
      <w:pPr>
        <w:pStyle w:val="ListParagraph"/>
        <w:numPr>
          <w:ilvl w:val="0"/>
          <w:numId w:val="2"/>
        </w:numPr>
        <w:spacing w:after="20" w:before="20"/>
      </w:pPr>
      <w:r>
        <w:rPr>
          <w:rFonts w:ascii="Calibri" w:cs="Calibri" w:eastAsia="Calibri" w:hAnsi="Calibri"/>
          <w:sz w:val="21"/>
          <w:szCs w:val="21"/>
        </w:rPr>
        <w:t xml:space="preserve">Presented the GHCI Phase 2 roadmap to CEO-level stakeholders, scoping blockchain-based certificate anchoring, AI-assisted review, analytics and a partner API ecosystem.</w:t>
      </w:r>
    </w:p>
    <w:p>
      <w:pPr>
        <w:pStyle w:val="ListParagraph"/>
        <w:numPr>
          <w:ilvl w:val="0"/>
          <w:numId w:val="2"/>
        </w:numPr>
        <w:spacing w:after="20" w:before="20"/>
      </w:pPr>
      <w:r>
        <w:rPr>
          <w:rFonts w:ascii="Calibri" w:cs="Calibri" w:eastAsia="Calibri" w:hAnsi="Calibri"/>
          <w:sz w:val="21"/>
          <w:szCs w:val="21"/>
        </w:rPr>
        <w:t xml:space="preserve">Built internal AI-assisted delivery standards adopted across the team, including a documentation quality framework and a Figma-to-AI integration guide covering the full UX design cycle.</w:t>
      </w:r>
    </w:p>
    <w:p>
      <w:pPr>
        <w:spacing w:after="0" w:before="180"/>
      </w:pPr>
      <w:r>
        <w:rPr>
          <w:rFonts w:ascii="Calibri" w:cs="Calibri" w:eastAsia="Calibri" w:hAnsi="Calibri"/>
          <w:b/>
          <w:bCs/>
          <w:sz w:val="22"/>
          <w:szCs w:val="22"/>
        </w:rPr>
        <w:t xml:space="preserve">Project Manager — Infosys</w:t>
      </w:r>
    </w:p>
    <w:p>
      <w:pPr>
        <w:spacing w:after="60" w:before="0"/>
      </w:pPr>
      <w:r>
        <w:rPr>
          <w:rFonts w:ascii="Calibri" w:cs="Calibri" w:eastAsia="Calibri" w:hAnsi="Calibri"/>
          <w:i/>
          <w:iCs/>
          <w:sz w:val="21"/>
          <w:szCs w:val="21"/>
        </w:rPr>
        <w:t xml:space="preserve">Pune  |  November 2024 – January 2026</w:t>
      </w:r>
    </w:p>
    <w:p>
      <w:pPr>
        <w:spacing w:after="60" w:before="0"/>
      </w:pPr>
      <w:r>
        <w:rPr>
          <w:rFonts w:ascii="Calibri" w:cs="Calibri" w:eastAsia="Calibri" w:hAnsi="Calibri"/>
          <w:i/>
          <w:iCs/>
          <w:sz w:val="21"/>
          <w:szCs w:val="21"/>
        </w:rPr>
        <w:t xml:space="preserve">Client: GE Vernova (United States)</w:t>
      </w:r>
    </w:p>
    <w:p>
      <w:pPr>
        <w:pStyle w:val="ListParagraph"/>
        <w:numPr>
          <w:ilvl w:val="0"/>
          <w:numId w:val="2"/>
        </w:numPr>
        <w:spacing w:after="20" w:before="20"/>
      </w:pPr>
      <w:r>
        <w:rPr>
          <w:rFonts w:ascii="Calibri" w:cs="Calibri" w:eastAsia="Calibri" w:hAnsi="Calibri"/>
          <w:sz w:val="21"/>
          <w:szCs w:val="21"/>
        </w:rPr>
        <w:t xml:space="preserve">Took transition of a loss-making, heavily over-staffed application portfolio and turned the account from cash outflow to net positive across the entire engagement.</w:t>
      </w:r>
    </w:p>
    <w:p>
      <w:pPr>
        <w:pStyle w:val="ListParagraph"/>
        <w:numPr>
          <w:ilvl w:val="0"/>
          <w:numId w:val="2"/>
        </w:numPr>
        <w:spacing w:after="20" w:before="20"/>
      </w:pPr>
      <w:r>
        <w:rPr>
          <w:rFonts w:ascii="Calibri" w:cs="Calibri" w:eastAsia="Calibri" w:hAnsi="Calibri"/>
          <w:sz w:val="21"/>
          <w:szCs w:val="21"/>
        </w:rPr>
        <w:t xml:space="preserve">Won approximately $500K in additional business over the following year.</w:t>
      </w:r>
    </w:p>
    <w:p>
      <w:pPr>
        <w:pStyle w:val="ListParagraph"/>
        <w:numPr>
          <w:ilvl w:val="0"/>
          <w:numId w:val="2"/>
        </w:numPr>
        <w:spacing w:after="20" w:before="20"/>
      </w:pPr>
      <w:r>
        <w:rPr>
          <w:rFonts w:ascii="Calibri" w:cs="Calibri" w:eastAsia="Calibri" w:hAnsi="Calibri"/>
          <w:sz w:val="21"/>
          <w:szCs w:val="21"/>
        </w:rPr>
        <w:t xml:space="preserve">Cut mean time to resolution from four days to under twelve hours through repository migrations and deployment script automation.</w:t>
      </w:r>
    </w:p>
    <w:p>
      <w:pPr>
        <w:pStyle w:val="ListParagraph"/>
        <w:numPr>
          <w:ilvl w:val="0"/>
          <w:numId w:val="2"/>
        </w:numPr>
        <w:spacing w:after="20" w:before="20"/>
      </w:pPr>
      <w:r>
        <w:rPr>
          <w:rFonts w:ascii="Calibri" w:cs="Calibri" w:eastAsia="Calibri" w:hAnsi="Calibri"/>
          <w:sz w:val="21"/>
          <w:szCs w:val="21"/>
        </w:rPr>
        <w:t xml:space="preserve">Right-sized a team running at roughly twice the required capacity, reducing headcount by about half while improving delivery efficiency by approximately 50%.</w:t>
      </w:r>
    </w:p>
    <w:p>
      <w:pPr>
        <w:pStyle w:val="ListParagraph"/>
        <w:numPr>
          <w:ilvl w:val="0"/>
          <w:numId w:val="2"/>
        </w:numPr>
        <w:spacing w:after="20" w:before="20"/>
      </w:pPr>
      <w:r>
        <w:rPr>
          <w:rFonts w:ascii="Calibri" w:cs="Calibri" w:eastAsia="Calibri" w:hAnsi="Calibri"/>
          <w:sz w:val="21"/>
          <w:szCs w:val="21"/>
        </w:rPr>
        <w:t xml:space="preserve">Automated and standardised day-to-day operations, reporting, budgeting and client communications across a $2M+ annual delivery portfolio.</w:t>
      </w:r>
    </w:p>
    <w:p>
      <w:pPr>
        <w:pStyle w:val="ListParagraph"/>
        <w:numPr>
          <w:ilvl w:val="0"/>
          <w:numId w:val="2"/>
        </w:numPr>
        <w:spacing w:after="20" w:before="20"/>
      </w:pPr>
      <w:r>
        <w:rPr>
          <w:rFonts w:ascii="Calibri" w:cs="Calibri" w:eastAsia="Calibri" w:hAnsi="Calibri"/>
          <w:sz w:val="21"/>
          <w:szCs w:val="21"/>
        </w:rPr>
        <w:t xml:space="preserve">Defined RACI matrices and an escalation governance framework across multiple vendors and the client, replacing ambiguous ownership on a 30+ member estate.</w:t>
      </w:r>
    </w:p>
    <w:p>
      <w:pPr>
        <w:pStyle w:val="ListParagraph"/>
        <w:numPr>
          <w:ilvl w:val="0"/>
          <w:numId w:val="2"/>
        </w:numPr>
        <w:spacing w:after="20" w:before="20"/>
      </w:pPr>
      <w:r>
        <w:rPr>
          <w:rFonts w:ascii="Calibri" w:cs="Calibri" w:eastAsia="Calibri" w:hAnsi="Calibri"/>
          <w:sz w:val="21"/>
          <w:szCs w:val="21"/>
        </w:rPr>
        <w:t xml:space="preserve">Produced As-Is and To-Be workflow documentation for application teams, reducing operational overhead and handoff ambiguity.</w:t>
      </w:r>
    </w:p>
    <w:p>
      <w:pPr>
        <w:pStyle w:val="ListParagraph"/>
        <w:numPr>
          <w:ilvl w:val="0"/>
          <w:numId w:val="2"/>
        </w:numPr>
        <w:spacing w:after="20" w:before="20"/>
      </w:pPr>
      <w:r>
        <w:rPr>
          <w:rFonts w:ascii="Calibri" w:cs="Calibri" w:eastAsia="Calibri" w:hAnsi="Calibri"/>
          <w:sz w:val="21"/>
          <w:szCs w:val="21"/>
        </w:rPr>
        <w:t xml:space="preserve">Restored strained CIO and application owner relationships through structured reporting on a fixed cadence.</w:t>
      </w:r>
    </w:p>
    <w:p>
      <w:pPr>
        <w:spacing w:after="0" w:before="180"/>
      </w:pPr>
      <w:r>
        <w:rPr>
          <w:rFonts w:ascii="Calibri" w:cs="Calibri" w:eastAsia="Calibri" w:hAnsi="Calibri"/>
          <w:b/>
          <w:bCs/>
          <w:sz w:val="22"/>
          <w:szCs w:val="22"/>
        </w:rPr>
        <w:t xml:space="preserve">Senior Consultant — EY</w:t>
      </w:r>
    </w:p>
    <w:p>
      <w:pPr>
        <w:spacing w:after="60" w:before="0"/>
      </w:pPr>
      <w:r>
        <w:rPr>
          <w:rFonts w:ascii="Calibri" w:cs="Calibri" w:eastAsia="Calibri" w:hAnsi="Calibri"/>
          <w:i/>
          <w:iCs/>
          <w:sz w:val="21"/>
          <w:szCs w:val="21"/>
        </w:rPr>
        <w:t xml:space="preserve">Delhi  |  April 2022 – November 2024</w:t>
      </w:r>
    </w:p>
    <w:p>
      <w:pPr>
        <w:pStyle w:val="ListParagraph"/>
        <w:numPr>
          <w:ilvl w:val="0"/>
          <w:numId w:val="2"/>
        </w:numPr>
        <w:spacing w:after="20" w:before="20"/>
      </w:pPr>
      <w:r>
        <w:rPr>
          <w:rFonts w:ascii="Calibri" w:cs="Calibri" w:eastAsia="Calibri" w:hAnsi="Calibri"/>
          <w:sz w:val="21"/>
          <w:szCs w:val="21"/>
        </w:rPr>
        <w:t xml:space="preserve">Delivered the CRCS Portal for the Ministry of Cooperation, a national platform serving 40M+ users, later extended as the delivery vehicle for Sahara refunds under a platform-as-a-service model.</w:t>
      </w:r>
    </w:p>
    <w:p>
      <w:pPr>
        <w:pStyle w:val="ListParagraph"/>
        <w:numPr>
          <w:ilvl w:val="0"/>
          <w:numId w:val="2"/>
        </w:numPr>
        <w:spacing w:after="20" w:before="20"/>
      </w:pPr>
      <w:r>
        <w:rPr>
          <w:rFonts w:ascii="Calibri" w:cs="Calibri" w:eastAsia="Calibri" w:hAnsi="Calibri"/>
          <w:sz w:val="21"/>
          <w:szCs w:val="21"/>
        </w:rPr>
        <w:t xml:space="preserve">Led business process re-engineering, functional requirement analysis and implementation oversight for national platforms including Aaklan and NPI (MeitY) and IVFRT (Bureau of Immigration).</w:t>
      </w:r>
    </w:p>
    <w:p>
      <w:pPr>
        <w:pStyle w:val="ListParagraph"/>
        <w:numPr>
          <w:ilvl w:val="0"/>
          <w:numId w:val="2"/>
        </w:numPr>
        <w:spacing w:after="20" w:before="20"/>
      </w:pPr>
      <w:r>
        <w:rPr>
          <w:rFonts w:ascii="Calibri" w:cs="Calibri" w:eastAsia="Calibri" w:hAnsi="Calibri"/>
          <w:sz w:val="21"/>
          <w:szCs w:val="21"/>
        </w:rPr>
        <w:t xml:space="preserve">Conducted As-Is mapping, gap analysis and To-Be system design across multiple ministries, aligning technology decisions with policy and operational outcomes.</w:t>
      </w:r>
    </w:p>
    <w:p>
      <w:pPr>
        <w:pStyle w:val="ListParagraph"/>
        <w:numPr>
          <w:ilvl w:val="0"/>
          <w:numId w:val="2"/>
        </w:numPr>
        <w:spacing w:after="20" w:before="20"/>
      </w:pPr>
      <w:r>
        <w:rPr>
          <w:rFonts w:ascii="Calibri" w:cs="Calibri" w:eastAsia="Calibri" w:hAnsi="Calibri"/>
          <w:sz w:val="21"/>
          <w:szCs w:val="21"/>
        </w:rPr>
        <w:t xml:space="preserve">Ran PMO governance: risk logs, issue tracking, vendor performance monitoring, milestone dashboards and executive reporting.</w:t>
      </w:r>
    </w:p>
    <w:p>
      <w:pPr>
        <w:pStyle w:val="ListParagraph"/>
        <w:numPr>
          <w:ilvl w:val="0"/>
          <w:numId w:val="2"/>
        </w:numPr>
        <w:spacing w:after="20" w:before="20"/>
      </w:pPr>
      <w:r>
        <w:rPr>
          <w:rFonts w:ascii="Calibri" w:cs="Calibri" w:eastAsia="Calibri" w:hAnsi="Calibri"/>
          <w:sz w:val="21"/>
          <w:szCs w:val="21"/>
        </w:rPr>
        <w:t xml:space="preserve">Oversaw security compliance across 90+ ministry websites, covering audit adherence, resilience and risk mitigation.</w:t>
      </w:r>
    </w:p>
    <w:p>
      <w:pPr>
        <w:pStyle w:val="ListParagraph"/>
        <w:numPr>
          <w:ilvl w:val="0"/>
          <w:numId w:val="2"/>
        </w:numPr>
        <w:spacing w:after="20" w:before="20"/>
      </w:pPr>
      <w:r>
        <w:rPr>
          <w:rFonts w:ascii="Calibri" w:cs="Calibri" w:eastAsia="Calibri" w:hAnsi="Calibri"/>
          <w:sz w:val="21"/>
          <w:szCs w:val="21"/>
        </w:rPr>
        <w:t xml:space="preserve">Authored RFPs, DPRs, procurement frameworks and implementation strategies for Government of India programmes.</w:t>
      </w:r>
    </w:p>
    <w:p>
      <w:pPr>
        <w:pStyle w:val="ListParagraph"/>
        <w:numPr>
          <w:ilvl w:val="0"/>
          <w:numId w:val="2"/>
        </w:numPr>
        <w:spacing w:after="20" w:before="20"/>
      </w:pPr>
      <w:r>
        <w:rPr>
          <w:rFonts w:ascii="Calibri" w:cs="Calibri" w:eastAsia="Calibri" w:hAnsi="Calibri"/>
          <w:sz w:val="21"/>
          <w:szCs w:val="21"/>
        </w:rPr>
        <w:t xml:space="preserve">Worked directly with Secretaries and Additional Secretaries on approvals, scope decisions and progress evaluation.</w:t>
      </w:r>
    </w:p>
    <w:p>
      <w:pPr>
        <w:spacing w:after="0" w:before="180"/>
      </w:pPr>
      <w:r>
        <w:rPr>
          <w:rFonts w:ascii="Calibri" w:cs="Calibri" w:eastAsia="Calibri" w:hAnsi="Calibri"/>
          <w:b/>
          <w:bCs/>
          <w:sz w:val="22"/>
          <w:szCs w:val="22"/>
        </w:rPr>
        <w:t xml:space="preserve">Software Engineering Lead — UST Global</w:t>
      </w:r>
    </w:p>
    <w:p>
      <w:pPr>
        <w:spacing w:after="60" w:before="0"/>
      </w:pPr>
      <w:r>
        <w:rPr>
          <w:rFonts w:ascii="Calibri" w:cs="Calibri" w:eastAsia="Calibri" w:hAnsi="Calibri"/>
          <w:i/>
          <w:iCs/>
          <w:sz w:val="21"/>
          <w:szCs w:val="21"/>
        </w:rPr>
        <w:t xml:space="preserve">Noida  |  June 2021 – April 2022</w:t>
      </w:r>
    </w:p>
    <w:p>
      <w:pPr>
        <w:pStyle w:val="ListParagraph"/>
        <w:numPr>
          <w:ilvl w:val="0"/>
          <w:numId w:val="2"/>
        </w:numPr>
        <w:spacing w:after="20" w:before="20"/>
      </w:pPr>
      <w:r>
        <w:rPr>
          <w:rFonts w:ascii="Calibri" w:cs="Calibri" w:eastAsia="Calibri" w:hAnsi="Calibri"/>
          <w:sz w:val="21"/>
          <w:szCs w:val="21"/>
        </w:rPr>
        <w:t xml:space="preserve">Defined product vision and roadmap for Skillchain, an internal blockchain credentialing platform enabling secure credential transactions for 2,500+ employees.</w:t>
      </w:r>
    </w:p>
    <w:p>
      <w:pPr>
        <w:pStyle w:val="ListParagraph"/>
        <w:numPr>
          <w:ilvl w:val="0"/>
          <w:numId w:val="2"/>
        </w:numPr>
        <w:spacing w:after="20" w:before="20"/>
      </w:pPr>
      <w:r>
        <w:rPr>
          <w:rFonts w:ascii="Calibri" w:cs="Calibri" w:eastAsia="Calibri" w:hAnsi="Calibri"/>
          <w:sz w:val="21"/>
          <w:szCs w:val="21"/>
        </w:rPr>
        <w:t xml:space="preserve">Ran user research and feedback cycles to drive organisation-wide adoption, translating distributed ledger capability into usable product behaviour.</w:t>
      </w:r>
    </w:p>
    <w:p>
      <w:pPr>
        <w:spacing w:after="0" w:before="180"/>
      </w:pPr>
      <w:r>
        <w:rPr>
          <w:rFonts w:ascii="Calibri" w:cs="Calibri" w:eastAsia="Calibri" w:hAnsi="Calibri"/>
          <w:b/>
          <w:bCs/>
          <w:sz w:val="22"/>
          <w:szCs w:val="22"/>
        </w:rPr>
        <w:t xml:space="preserve">Software Development Engineer — ValueCoders Services LLP</w:t>
      </w:r>
    </w:p>
    <w:p>
      <w:pPr>
        <w:spacing w:after="60" w:before="0"/>
      </w:pPr>
      <w:r>
        <w:rPr>
          <w:rFonts w:ascii="Calibri" w:cs="Calibri" w:eastAsia="Calibri" w:hAnsi="Calibri"/>
          <w:i/>
          <w:iCs/>
          <w:sz w:val="21"/>
          <w:szCs w:val="21"/>
        </w:rPr>
        <w:t xml:space="preserve">Noida  |  June 2020 – June 2021</w:t>
      </w:r>
    </w:p>
    <w:p>
      <w:pPr>
        <w:pStyle w:val="ListParagraph"/>
        <w:numPr>
          <w:ilvl w:val="0"/>
          <w:numId w:val="2"/>
        </w:numPr>
        <w:spacing w:after="20" w:before="20"/>
      </w:pPr>
      <w:r>
        <w:rPr>
          <w:rFonts w:ascii="Calibri" w:cs="Calibri" w:eastAsia="Calibri" w:hAnsi="Calibri"/>
          <w:sz w:val="21"/>
          <w:szCs w:val="21"/>
        </w:rPr>
        <w:t xml:space="preserve">Designed secure, scalable architectures for digital document workflow and transaction systems.</w:t>
      </w:r>
    </w:p>
    <w:p>
      <w:pPr>
        <w:pStyle w:val="ListParagraph"/>
        <w:numPr>
          <w:ilvl w:val="0"/>
          <w:numId w:val="2"/>
        </w:numPr>
        <w:spacing w:after="20" w:before="20"/>
      </w:pPr>
      <w:r>
        <w:rPr>
          <w:rFonts w:ascii="Calibri" w:cs="Calibri" w:eastAsia="Calibri" w:hAnsi="Calibri"/>
          <w:sz w:val="21"/>
          <w:szCs w:val="21"/>
        </w:rPr>
        <w:t xml:space="preserve">Conducted API-level requirement analysis, solution design and performance improvement cycles.</w:t>
      </w:r>
    </w:p>
    <w:p>
      <w:pPr>
        <w:spacing w:after="0" w:before="180"/>
      </w:pPr>
      <w:r>
        <w:rPr>
          <w:rFonts w:ascii="Calibri" w:cs="Calibri" w:eastAsia="Calibri" w:hAnsi="Calibri"/>
          <w:b/>
          <w:bCs/>
          <w:sz w:val="22"/>
          <w:szCs w:val="22"/>
        </w:rPr>
        <w:t xml:space="preserve">IT Analyst — Tata Consultancy Services</w:t>
      </w:r>
    </w:p>
    <w:p>
      <w:pPr>
        <w:spacing w:after="60" w:before="0"/>
      </w:pPr>
      <w:r>
        <w:rPr>
          <w:rFonts w:ascii="Calibri" w:cs="Calibri" w:eastAsia="Calibri" w:hAnsi="Calibri"/>
          <w:i/>
          <w:iCs/>
          <w:sz w:val="21"/>
          <w:szCs w:val="21"/>
        </w:rPr>
        <w:t xml:space="preserve">Gurugram  |  October 2015 – May 2020</w:t>
      </w:r>
    </w:p>
    <w:p>
      <w:pPr>
        <w:pStyle w:val="ListParagraph"/>
        <w:numPr>
          <w:ilvl w:val="0"/>
          <w:numId w:val="2"/>
        </w:numPr>
        <w:spacing w:after="20" w:before="20"/>
      </w:pPr>
      <w:r>
        <w:rPr>
          <w:rFonts w:ascii="Calibri" w:cs="Calibri" w:eastAsia="Calibri" w:hAnsi="Calibri"/>
          <w:sz w:val="21"/>
          <w:szCs w:val="21"/>
        </w:rPr>
        <w:t xml:space="preserve">Implemented multi-node Hyperledger Fabric networks for major BFSI clients.</w:t>
      </w:r>
    </w:p>
    <w:p>
      <w:pPr>
        <w:pStyle w:val="ListParagraph"/>
        <w:numPr>
          <w:ilvl w:val="0"/>
          <w:numId w:val="2"/>
        </w:numPr>
        <w:spacing w:after="20" w:before="20"/>
      </w:pPr>
      <w:r>
        <w:rPr>
          <w:rFonts w:ascii="Calibri" w:cs="Calibri" w:eastAsia="Calibri" w:hAnsi="Calibri"/>
          <w:sz w:val="21"/>
          <w:szCs w:val="21"/>
        </w:rPr>
        <w:t xml:space="preserve">Built automated reporting on Unisys Mainframe, saving 20+ man-hours weekly.</w:t>
      </w:r>
    </w:p>
    <w:p>
      <w:pPr>
        <w:pStyle w:val="ListParagraph"/>
        <w:numPr>
          <w:ilvl w:val="0"/>
          <w:numId w:val="2"/>
        </w:numPr>
        <w:spacing w:after="20" w:before="20"/>
      </w:pPr>
      <w:r>
        <w:rPr>
          <w:rFonts w:ascii="Calibri" w:cs="Calibri" w:eastAsia="Calibri" w:hAnsi="Calibri"/>
          <w:sz w:val="21"/>
          <w:szCs w:val="21"/>
        </w:rPr>
        <w:t xml:space="preserve">Optimised dispute resolution workflows, reducing reported defects by 40%.</w:t>
      </w:r>
    </w:p>
    <w:p>
      <w:pPr>
        <w:pStyle w:val="ListParagraph"/>
        <w:numPr>
          <w:ilvl w:val="0"/>
          <w:numId w:val="2"/>
        </w:numPr>
        <w:spacing w:after="20" w:before="20"/>
      </w:pPr>
      <w:r>
        <w:rPr>
          <w:rFonts w:ascii="Calibri" w:cs="Calibri" w:eastAsia="Calibri" w:hAnsi="Calibri"/>
          <w:sz w:val="21"/>
          <w:szCs w:val="21"/>
        </w:rPr>
        <w:t xml:space="preserve">Delivered for clients across the United States, United Kingdom and Japan.</w:t>
      </w:r>
    </w:p>
    <w:p>
      <w:pPr>
        <w:pStyle w:val="Heading1"/>
        <w:pBdr>
          <w:bottom w:val="single" w:color="000000" w:sz="6" w:space="2"/>
        </w:pBdr>
        <w:spacing w:after="100" w:before="260"/>
      </w:pPr>
      <w:r>
        <w:rPr>
          <w:rFonts w:ascii="Calibri" w:cs="Calibri" w:eastAsia="Calibri" w:hAnsi="Calibri"/>
          <w:b/>
          <w:bCs/>
          <w:color w:val="000000"/>
          <w:sz w:val="23"/>
          <w:szCs w:val="23"/>
        </w:rPr>
        <w:t xml:space="preserve">EDUCATION</w:t>
      </w:r>
    </w:p>
    <w:p>
      <w:pPr>
        <w:spacing w:after="40" w:before="40"/>
      </w:pPr>
      <w:r>
        <w:rPr>
          <w:rFonts w:ascii="Calibri" w:cs="Calibri" w:eastAsia="Calibri" w:hAnsi="Calibri"/>
          <w:sz w:val="21"/>
          <w:szCs w:val="21"/>
        </w:rPr>
        <w:t xml:space="preserve">Post Graduate Diploma in Management (PGDM) — IMT CDL, Ghaziabad, 2023</w:t>
      </w:r>
    </w:p>
    <w:p>
      <w:pPr>
        <w:spacing w:after="40" w:before="40"/>
      </w:pPr>
      <w:r>
        <w:rPr>
          <w:rFonts w:ascii="Calibri" w:cs="Calibri" w:eastAsia="Calibri" w:hAnsi="Calibri"/>
          <w:sz w:val="21"/>
          <w:szCs w:val="21"/>
        </w:rPr>
        <w:t xml:space="preserve">Bachelor of Technology — UPTU, Lucknow, 2015</w:t>
      </w:r>
    </w:p>
    <w:p>
      <w:pPr>
        <w:pStyle w:val="Heading1"/>
        <w:pBdr>
          <w:bottom w:val="single" w:color="000000" w:sz="6" w:space="2"/>
        </w:pBdr>
        <w:spacing w:after="100" w:before="260"/>
      </w:pPr>
      <w:r>
        <w:rPr>
          <w:rFonts w:ascii="Calibri" w:cs="Calibri" w:eastAsia="Calibri" w:hAnsi="Calibri"/>
          <w:b/>
          <w:bCs/>
          <w:color w:val="000000"/>
          <w:sz w:val="23"/>
          <w:szCs w:val="23"/>
        </w:rPr>
        <w:t xml:space="preserve">CERTIFICATIONS</w:t>
      </w:r>
    </w:p>
    <w:p>
      <w:pPr>
        <w:spacing w:after="40" w:before="40"/>
      </w:pPr>
      <w:r>
        <w:rPr>
          <w:rFonts w:ascii="Calibri" w:cs="Calibri" w:eastAsia="Calibri" w:hAnsi="Calibri"/>
          <w:sz w:val="21"/>
          <w:szCs w:val="21"/>
        </w:rPr>
        <w:t xml:space="preserve">Certified Scrum Master — Scrum Alliance</w:t>
      </w:r>
    </w:p>
    <w:p>
      <w:pPr>
        <w:spacing w:after="40" w:before="40"/>
      </w:pPr>
      <w:r>
        <w:rPr>
          <w:rFonts w:ascii="Calibri" w:cs="Calibri" w:eastAsia="Calibri" w:hAnsi="Calibri"/>
          <w:sz w:val="21"/>
          <w:szCs w:val="21"/>
        </w:rPr>
        <w:t xml:space="preserve">Google Project Management Professional Certificate</w:t>
      </w:r>
    </w:p>
    <w:p>
      <w:pPr>
        <w:spacing w:after="40" w:before="40"/>
      </w:pPr>
      <w:r>
        <w:rPr>
          <w:rFonts w:ascii="Calibri" w:cs="Calibri" w:eastAsia="Calibri" w:hAnsi="Calibri"/>
          <w:sz w:val="21"/>
          <w:szCs w:val="21"/>
        </w:rPr>
        <w:t xml:space="preserve">Blockchain Specialization — Coursera</w:t>
      </w:r>
    </w:p>
    <w:p>
      <w:pPr>
        <w:spacing w:after="40" w:before="40"/>
      </w:pPr>
      <w:r>
        <w:rPr>
          <w:rFonts w:ascii="Calibri" w:cs="Calibri" w:eastAsia="Calibri" w:hAnsi="Calibri"/>
          <w:sz w:val="21"/>
          <w:szCs w:val="21"/>
        </w:rPr>
        <w:t xml:space="preserve">Blockchain for Business — edX</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Rishabh Jain — Resume</dc:title>
  <dc:creator>Rishabh Jain</dc:creator>
  <dc:description>Resume</dc:description>
  <cp:lastModifiedBy>Un-named</cp:lastModifiedBy>
  <cp:revision>1</cp:revision>
  <dcterms:created xsi:type="dcterms:W3CDTF">2026-08-31T11:47:01.343Z</dcterms:created>
  <dcterms:modified xsi:type="dcterms:W3CDTF">2026-08-31T11:47:01.343Z</dcterms:modified>
</cp:coreProperties>
</file>

<file path=docProps/custom.xml><?xml version="1.0" encoding="utf-8"?>
<Properties xmlns="http://schemas.openxmlformats.org/officeDocument/2006/custom-properties" xmlns:vt="http://schemas.openxmlformats.org/officeDocument/2006/docPropsVTypes"/>
</file>