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proofErr w:type="spellStart"/>
                <w:r>
                  <w:t>Soh</w:t>
                </w:r>
                <w:proofErr w:type="spellEnd"/>
                <w:r>
                  <w:t xml:space="preserve">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 xml:space="preserve">Tan Boon </w:t>
                </w:r>
                <w:proofErr w:type="spellStart"/>
                <w:r>
                  <w:t>Keat</w:t>
                </w:r>
                <w:proofErr w:type="spellEnd"/>
                <w:r>
                  <w: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7F6C17"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crawl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116A35" w:rsidRPr="00116A35" w:rsidRDefault="00116A35" w:rsidP="00116A35">
      <w:pPr>
        <w:spacing w:line="240" w:lineRule="auto"/>
      </w:pPr>
      <w:bookmarkStart w:id="0" w:name="_GoBack"/>
      <w:bookmarkEnd w:id="0"/>
    </w:p>
    <w:p w:rsidR="00CF5D20" w:rsidRDefault="00CF5D20" w:rsidP="00CF5D20">
      <w:pPr>
        <w:pStyle w:val="Heading3"/>
      </w:pPr>
      <w:r>
        <w:t>Q1.3</w:t>
      </w:r>
      <w:r>
        <w:tab/>
        <w:t>The numbers of records, words, and types (i.e. unique words) in the corpus</w:t>
      </w:r>
    </w:p>
    <w:p w:rsidR="00CF5D20" w:rsidRDefault="00CF5D20" w:rsidP="00CF5D20">
      <w:pPr>
        <w:spacing w:line="240" w:lineRule="auto"/>
      </w:pPr>
    </w:p>
    <w:p w:rsidR="00CF5D20" w:rsidRDefault="00CF5D20" w:rsidP="00CF5D20">
      <w:pPr>
        <w:spacing w:line="240" w:lineRule="auto"/>
      </w:pPr>
      <w:r>
        <w:t>[+]</w:t>
      </w:r>
    </w:p>
    <w:p w:rsidR="00CF5D20" w:rsidRDefault="00CF5D20" w:rsidP="00CF5D20">
      <w:pPr>
        <w:spacing w:line="240" w:lineRule="auto"/>
      </w:pPr>
    </w:p>
    <w:p w:rsidR="00CF5D20" w:rsidRDefault="00CF5D20" w:rsidP="00CF5D20">
      <w:pPr>
        <w:pStyle w:val="ListParagraph"/>
        <w:numPr>
          <w:ilvl w:val="0"/>
          <w:numId w:val="27"/>
        </w:numPr>
        <w:spacing w:line="240" w:lineRule="auto"/>
      </w:pPr>
      <w:r>
        <w:t>Number of records: = 17021</w:t>
      </w:r>
    </w:p>
    <w:p w:rsidR="00CF5D20" w:rsidRDefault="00CF5D20" w:rsidP="00CF5D20">
      <w:pPr>
        <w:pStyle w:val="ListParagraph"/>
        <w:numPr>
          <w:ilvl w:val="0"/>
          <w:numId w:val="27"/>
        </w:numPr>
        <w:spacing w:line="240" w:lineRule="auto"/>
      </w:pPr>
      <w:r>
        <w:t>Number of words: &gt;= 340754 words</w:t>
      </w:r>
    </w:p>
    <w:p w:rsidR="00CF5D20" w:rsidRDefault="00CF5D20" w:rsidP="00CF5D20">
      <w:pPr>
        <w:pStyle w:val="ListParagraph"/>
        <w:numPr>
          <w:ilvl w:val="0"/>
          <w:numId w:val="27"/>
        </w:numPr>
        <w:spacing w:line="240" w:lineRule="auto"/>
      </w:pPr>
      <w:r>
        <w:t>Types of words: e.g. unique words, common words, stop words</w:t>
      </w:r>
      <w:r>
        <w:rPr>
          <w:rStyle w:val="FootnoteReference"/>
        </w:rPr>
        <w:footnoteReference w:id="3"/>
      </w:r>
    </w:p>
    <w:p w:rsidR="00CF5D20" w:rsidRDefault="00CF5D20" w:rsidP="00CF5D20">
      <w:pPr>
        <w:pStyle w:val="ListParagraph"/>
        <w:numPr>
          <w:ilvl w:val="1"/>
          <w:numId w:val="27"/>
        </w:numPr>
        <w:spacing w:line="240" w:lineRule="auto"/>
      </w:pPr>
      <w:r>
        <w:t>Unique words: 853 words</w:t>
      </w:r>
    </w:p>
    <w:p w:rsidR="00CF5D20" w:rsidRDefault="00CF5D20" w:rsidP="00CF5D20">
      <w:pPr>
        <w:pStyle w:val="ListParagraph"/>
        <w:numPr>
          <w:ilvl w:val="2"/>
          <w:numId w:val="27"/>
        </w:numPr>
        <w:spacing w:line="240" w:lineRule="auto"/>
      </w:pPr>
      <w:r>
        <w:t>a3genealogy</w:t>
      </w:r>
    </w:p>
    <w:p w:rsidR="00CF5D20" w:rsidRDefault="00CF5D20" w:rsidP="00CF5D20">
      <w:pPr>
        <w:pStyle w:val="ListParagraph"/>
        <w:numPr>
          <w:ilvl w:val="2"/>
          <w:numId w:val="27"/>
        </w:numPr>
        <w:spacing w:line="240" w:lineRule="auto"/>
      </w:pPr>
      <w:proofErr w:type="spellStart"/>
      <w:r>
        <w:t>ababa</w:t>
      </w:r>
      <w:proofErr w:type="spellEnd"/>
    </w:p>
    <w:p w:rsidR="00CF5D20" w:rsidRDefault="00CF5D20" w:rsidP="00CF5D20">
      <w:pPr>
        <w:pStyle w:val="ListParagraph"/>
        <w:numPr>
          <w:ilvl w:val="2"/>
          <w:numId w:val="27"/>
        </w:numPr>
        <w:spacing w:line="240" w:lineRule="auto"/>
      </w:pPr>
      <w:r>
        <w:t>able</w:t>
      </w:r>
    </w:p>
    <w:p w:rsidR="00CF5D20" w:rsidRDefault="00CF5D20" w:rsidP="00CF5D20">
      <w:pPr>
        <w:pStyle w:val="ListParagraph"/>
        <w:numPr>
          <w:ilvl w:val="2"/>
          <w:numId w:val="27"/>
        </w:numPr>
        <w:spacing w:line="240" w:lineRule="auto"/>
      </w:pPr>
      <w:r>
        <w:lastRenderedPageBreak/>
        <w:t>abolish</w:t>
      </w:r>
    </w:p>
    <w:p w:rsidR="00CF5D20" w:rsidRDefault="00CF5D20" w:rsidP="00CF5D20">
      <w:pPr>
        <w:pStyle w:val="ListParagraph"/>
        <w:numPr>
          <w:ilvl w:val="2"/>
          <w:numId w:val="27"/>
        </w:numPr>
        <w:spacing w:line="240" w:lineRule="auto"/>
      </w:pPr>
      <w:r>
        <w:t>about</w:t>
      </w:r>
    </w:p>
    <w:p w:rsidR="00CF5D20" w:rsidRDefault="00CF5D20" w:rsidP="00CF5D20">
      <w:pPr>
        <w:pStyle w:val="ListParagraph"/>
        <w:numPr>
          <w:ilvl w:val="2"/>
          <w:numId w:val="27"/>
        </w:numPr>
        <w:spacing w:line="240" w:lineRule="auto"/>
      </w:pPr>
      <w:r>
        <w:t>above</w:t>
      </w:r>
    </w:p>
    <w:p w:rsidR="00CF5D20" w:rsidRDefault="00CF5D20" w:rsidP="00CF5D20">
      <w:pPr>
        <w:pStyle w:val="ListParagraph"/>
        <w:numPr>
          <w:ilvl w:val="2"/>
          <w:numId w:val="27"/>
        </w:numPr>
        <w:spacing w:line="240" w:lineRule="auto"/>
      </w:pPr>
      <w:r>
        <w:t>abuse</w:t>
      </w:r>
    </w:p>
    <w:p w:rsidR="00CF5D20" w:rsidRDefault="00CF5D20" w:rsidP="00CF5D20">
      <w:pPr>
        <w:pStyle w:val="ListParagraph"/>
        <w:numPr>
          <w:ilvl w:val="2"/>
          <w:numId w:val="27"/>
        </w:numPr>
        <w:spacing w:line="240" w:lineRule="auto"/>
      </w:pPr>
      <w:r>
        <w:t>abusing</w:t>
      </w:r>
    </w:p>
    <w:p w:rsidR="00CF5D20" w:rsidRDefault="00CF5D20" w:rsidP="00CF5D20">
      <w:pPr>
        <w:pStyle w:val="ListParagraph"/>
        <w:numPr>
          <w:ilvl w:val="2"/>
          <w:numId w:val="27"/>
        </w:numPr>
        <w:spacing w:line="240" w:lineRule="auto"/>
      </w:pPr>
      <w:r>
        <w:t>accept</w:t>
      </w:r>
    </w:p>
    <w:p w:rsidR="00CF5D20" w:rsidRDefault="00CF5D20" w:rsidP="00CF5D20">
      <w:pPr>
        <w:pStyle w:val="ListParagraph"/>
        <w:numPr>
          <w:ilvl w:val="2"/>
          <w:numId w:val="27"/>
        </w:numPr>
        <w:spacing w:line="240" w:lineRule="auto"/>
      </w:pPr>
      <w:r>
        <w:t>according</w:t>
      </w:r>
    </w:p>
    <w:p w:rsidR="00CF5D20" w:rsidRDefault="00CF5D20" w:rsidP="00CF5D20">
      <w:pPr>
        <w:pStyle w:val="ListParagraph"/>
        <w:numPr>
          <w:ilvl w:val="2"/>
          <w:numId w:val="27"/>
        </w:numPr>
        <w:spacing w:line="240" w:lineRule="auto"/>
      </w:pPr>
      <w:r>
        <w:t>account</w:t>
      </w:r>
    </w:p>
    <w:p w:rsidR="00CF5D20" w:rsidRDefault="00CF5D20" w:rsidP="00CF5D20">
      <w:pPr>
        <w:pStyle w:val="ListParagraph"/>
        <w:numPr>
          <w:ilvl w:val="2"/>
          <w:numId w:val="27"/>
        </w:numPr>
        <w:spacing w:line="240" w:lineRule="auto"/>
      </w:pPr>
      <w:r>
        <w:t>accounts</w:t>
      </w:r>
    </w:p>
    <w:p w:rsidR="00CF5D20" w:rsidRDefault="00CF5D20" w:rsidP="00CF5D20">
      <w:pPr>
        <w:pStyle w:val="ListParagraph"/>
        <w:numPr>
          <w:ilvl w:val="2"/>
          <w:numId w:val="27"/>
        </w:numPr>
        <w:spacing w:line="240" w:lineRule="auto"/>
      </w:pPr>
      <w:r>
        <w:t>acquiring</w:t>
      </w:r>
    </w:p>
    <w:p w:rsidR="00CF5D20" w:rsidRDefault="00CF5D20" w:rsidP="00CF5D20">
      <w:pPr>
        <w:pStyle w:val="ListParagraph"/>
        <w:numPr>
          <w:ilvl w:val="1"/>
          <w:numId w:val="27"/>
        </w:numPr>
        <w:spacing w:line="240" w:lineRule="auto"/>
      </w:pPr>
      <w:r>
        <w:t xml:space="preserve">Common words: </w:t>
      </w:r>
    </w:p>
    <w:p w:rsidR="00CF5D20" w:rsidRDefault="00CF5D20" w:rsidP="00CF5D20">
      <w:pPr>
        <w:pStyle w:val="ListParagraph"/>
        <w:numPr>
          <w:ilvl w:val="2"/>
          <w:numId w:val="27"/>
        </w:numPr>
        <w:spacing w:line="240" w:lineRule="auto"/>
      </w:pPr>
      <w:r>
        <w:t xml:space="preserve">13,834 </w:t>
      </w:r>
      <w:proofErr w:type="spellStart"/>
      <w:r>
        <w:t>european</w:t>
      </w:r>
      <w:proofErr w:type="spellEnd"/>
    </w:p>
    <w:p w:rsidR="00CF5D20" w:rsidRDefault="00CF5D20" w:rsidP="00CF5D20">
      <w:pPr>
        <w:pStyle w:val="ListParagraph"/>
        <w:numPr>
          <w:ilvl w:val="2"/>
          <w:numId w:val="27"/>
        </w:numPr>
        <w:spacing w:line="240" w:lineRule="auto"/>
      </w:pPr>
      <w:r>
        <w:t>11,884 union</w:t>
      </w:r>
    </w:p>
    <w:p w:rsidR="00CF5D20" w:rsidRDefault="00CF5D20" w:rsidP="00CF5D20">
      <w:pPr>
        <w:pStyle w:val="ListParagraph"/>
        <w:numPr>
          <w:ilvl w:val="2"/>
          <w:numId w:val="27"/>
        </w:numPr>
        <w:spacing w:line="240" w:lineRule="auto"/>
      </w:pPr>
      <w:r>
        <w:t>11,055 the</w:t>
      </w:r>
    </w:p>
    <w:p w:rsidR="00CF5D20" w:rsidRDefault="00CF5D20" w:rsidP="00CF5D20">
      <w:pPr>
        <w:pStyle w:val="ListParagraph"/>
        <w:numPr>
          <w:ilvl w:val="2"/>
          <w:numId w:val="27"/>
        </w:numPr>
        <w:spacing w:line="240" w:lineRule="auto"/>
      </w:pPr>
      <w:r>
        <w:t>5,559 to</w:t>
      </w:r>
    </w:p>
    <w:p w:rsidR="00CF5D20" w:rsidRDefault="00CF5D20" w:rsidP="00CF5D20">
      <w:pPr>
        <w:pStyle w:val="ListParagraph"/>
        <w:numPr>
          <w:ilvl w:val="2"/>
          <w:numId w:val="27"/>
        </w:numPr>
        <w:spacing w:line="240" w:lineRule="auto"/>
      </w:pPr>
      <w:r>
        <w:t xml:space="preserve">4,129 </w:t>
      </w:r>
      <w:proofErr w:type="spellStart"/>
      <w:r>
        <w:t>rt</w:t>
      </w:r>
      <w:proofErr w:type="spellEnd"/>
    </w:p>
    <w:p w:rsidR="00CF5D20" w:rsidRDefault="00CF5D20" w:rsidP="00CF5D20">
      <w:pPr>
        <w:pStyle w:val="ListParagraph"/>
        <w:numPr>
          <w:ilvl w:val="2"/>
          <w:numId w:val="27"/>
        </w:numPr>
        <w:spacing w:line="240" w:lineRule="auto"/>
      </w:pPr>
      <w:r>
        <w:t xml:space="preserve">4,085 </w:t>
      </w:r>
      <w:proofErr w:type="spellStart"/>
      <w:r>
        <w:t>eu</w:t>
      </w:r>
      <w:proofErr w:type="spellEnd"/>
    </w:p>
    <w:p w:rsidR="00CF5D20" w:rsidRDefault="00CF5D20" w:rsidP="00CF5D20">
      <w:pPr>
        <w:pStyle w:val="ListParagraph"/>
        <w:numPr>
          <w:ilvl w:val="2"/>
          <w:numId w:val="27"/>
        </w:numPr>
        <w:spacing w:line="240" w:lineRule="auto"/>
      </w:pPr>
      <w:r>
        <w:t>2,505 a</w:t>
      </w:r>
    </w:p>
    <w:p w:rsidR="00CF5D20" w:rsidRDefault="00CF5D20" w:rsidP="00CF5D20">
      <w:pPr>
        <w:pStyle w:val="ListParagraph"/>
        <w:numPr>
          <w:ilvl w:val="2"/>
          <w:numId w:val="27"/>
        </w:numPr>
        <w:spacing w:line="240" w:lineRule="auto"/>
      </w:pPr>
      <w:r>
        <w:t>2,043 http</w:t>
      </w:r>
    </w:p>
    <w:p w:rsidR="00CF5D20" w:rsidRDefault="00CF5D20" w:rsidP="00CF5D20">
      <w:pPr>
        <w:pStyle w:val="ListParagraph"/>
        <w:numPr>
          <w:ilvl w:val="2"/>
          <w:numId w:val="27"/>
        </w:numPr>
        <w:spacing w:line="240" w:lineRule="auto"/>
      </w:pPr>
      <w:r>
        <w:t>1,454 t.co</w:t>
      </w:r>
    </w:p>
    <w:p w:rsidR="00CF5D20" w:rsidRDefault="00CF5D20" w:rsidP="00CF5D20">
      <w:pPr>
        <w:pStyle w:val="ListParagraph"/>
        <w:numPr>
          <w:ilvl w:val="2"/>
          <w:numId w:val="27"/>
        </w:numPr>
        <w:spacing w:line="240" w:lineRule="auto"/>
      </w:pPr>
      <w:r>
        <w:t>1,395 with</w:t>
      </w:r>
    </w:p>
    <w:p w:rsidR="00CF5D20" w:rsidRDefault="00CF5D20" w:rsidP="00CF5D20">
      <w:pPr>
        <w:pStyle w:val="ListParagraph"/>
        <w:numPr>
          <w:ilvl w:val="1"/>
          <w:numId w:val="27"/>
        </w:numPr>
        <w:spacing w:line="240" w:lineRule="auto"/>
      </w:pPr>
      <w:r>
        <w:t>Stop words: 105 words</w:t>
      </w:r>
    </w:p>
    <w:p w:rsidR="00CF5D20" w:rsidRDefault="00CF5D20" w:rsidP="00CF5D20">
      <w:pPr>
        <w:pStyle w:val="ListParagraph"/>
        <w:numPr>
          <w:ilvl w:val="2"/>
          <w:numId w:val="27"/>
        </w:numPr>
        <w:spacing w:line="240" w:lineRule="auto"/>
      </w:pPr>
      <w:r>
        <w:t>a</w:t>
      </w:r>
    </w:p>
    <w:p w:rsidR="00CF5D20" w:rsidRDefault="00CF5D20" w:rsidP="00CF5D20">
      <w:pPr>
        <w:pStyle w:val="ListParagraph"/>
        <w:numPr>
          <w:ilvl w:val="2"/>
          <w:numId w:val="27"/>
        </w:numPr>
        <w:spacing w:line="240" w:lineRule="auto"/>
      </w:pPr>
      <w:r>
        <w:t>an</w:t>
      </w:r>
    </w:p>
    <w:p w:rsidR="00CF5D20" w:rsidRDefault="00CF5D20" w:rsidP="00CF5D20">
      <w:pPr>
        <w:pStyle w:val="ListParagraph"/>
        <w:numPr>
          <w:ilvl w:val="2"/>
          <w:numId w:val="27"/>
        </w:numPr>
        <w:spacing w:line="240" w:lineRule="auto"/>
      </w:pPr>
      <w:r>
        <w:t>at</w:t>
      </w:r>
    </w:p>
    <w:p w:rsidR="00CF5D20" w:rsidRDefault="00CF5D20" w:rsidP="00CF5D20">
      <w:pPr>
        <w:pStyle w:val="ListParagraph"/>
        <w:numPr>
          <w:ilvl w:val="2"/>
          <w:numId w:val="27"/>
        </w:numPr>
        <w:spacing w:line="240" w:lineRule="auto"/>
      </w:pPr>
      <w:r>
        <w:t>and</w:t>
      </w:r>
    </w:p>
    <w:p w:rsidR="00CF5D20" w:rsidRDefault="00CF5D20" w:rsidP="00CF5D20">
      <w:pPr>
        <w:pStyle w:val="ListParagraph"/>
        <w:numPr>
          <w:ilvl w:val="2"/>
          <w:numId w:val="27"/>
        </w:numPr>
        <w:spacing w:line="240" w:lineRule="auto"/>
      </w:pPr>
      <w:r>
        <w:t>are</w:t>
      </w:r>
    </w:p>
    <w:p w:rsidR="00CF5D20" w:rsidRDefault="00CF5D20" w:rsidP="00CF5D20">
      <w:pPr>
        <w:pStyle w:val="ListParagraph"/>
        <w:numPr>
          <w:ilvl w:val="2"/>
          <w:numId w:val="27"/>
        </w:numPr>
        <w:spacing w:line="240" w:lineRule="auto"/>
      </w:pPr>
      <w:r>
        <w:t>also</w:t>
      </w:r>
    </w:p>
    <w:p w:rsidR="00CF5D20" w:rsidRDefault="00CF5D20" w:rsidP="00CF5D20">
      <w:pPr>
        <w:pStyle w:val="ListParagraph"/>
        <w:numPr>
          <w:ilvl w:val="2"/>
          <w:numId w:val="27"/>
        </w:numPr>
        <w:spacing w:line="240" w:lineRule="auto"/>
      </w:pPr>
      <w:r>
        <w:t>against</w:t>
      </w:r>
    </w:p>
    <w:p w:rsidR="00CF5D20" w:rsidRDefault="00CF5D20" w:rsidP="00CF5D20">
      <w:pPr>
        <w:pStyle w:val="ListParagraph"/>
        <w:numPr>
          <w:ilvl w:val="2"/>
          <w:numId w:val="27"/>
        </w:numPr>
        <w:spacing w:line="240" w:lineRule="auto"/>
      </w:pPr>
      <w:r>
        <w:t>actually</w:t>
      </w:r>
    </w:p>
    <w:p w:rsidR="00CF5D20" w:rsidRDefault="00CF5D20" w:rsidP="00CF5D20">
      <w:pPr>
        <w:pStyle w:val="ListParagraph"/>
        <w:numPr>
          <w:ilvl w:val="2"/>
          <w:numId w:val="27"/>
        </w:numPr>
        <w:spacing w:line="240" w:lineRule="auto"/>
      </w:pPr>
      <w:r>
        <w:t>be</w:t>
      </w:r>
    </w:p>
    <w:p w:rsidR="00CF5D20" w:rsidRDefault="00CF5D20" w:rsidP="00CF5D20">
      <w:pPr>
        <w:pStyle w:val="ListParagraph"/>
        <w:numPr>
          <w:ilvl w:val="2"/>
          <w:numId w:val="27"/>
        </w:numPr>
        <w:spacing w:line="240" w:lineRule="auto"/>
      </w:pPr>
      <w:r>
        <w:t>by</w:t>
      </w:r>
    </w:p>
    <w:p w:rsidR="00633F3E" w:rsidRPr="00633F3E" w:rsidRDefault="00633F3E" w:rsidP="00116A35">
      <w:pPr>
        <w:spacing w:line="240" w:lineRule="auto"/>
      </w:pPr>
    </w:p>
    <w:p w:rsidR="001E2EF1" w:rsidRDefault="00633F3E" w:rsidP="008471B5">
      <w:pPr>
        <w:pStyle w:val="Heading1"/>
      </w:pPr>
      <w:r>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lastRenderedPageBreak/>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3F3D19" w:rsidRDefault="003F3D19" w:rsidP="003F3D19">
      <w:pPr>
        <w:pStyle w:val="Heading3"/>
        <w:numPr>
          <w:ilvl w:val="0"/>
          <w:numId w:val="26"/>
        </w:numPr>
      </w:pPr>
      <w:r>
        <w:t>Image Retrieval</w:t>
      </w:r>
    </w:p>
    <w:p w:rsidR="003F3D19" w:rsidRPr="003F3D19" w:rsidRDefault="00682F35" w:rsidP="003F3D19">
      <w:pPr>
        <w:ind w:left="360"/>
      </w:pPr>
      <w:r>
        <w:t xml:space="preserve">As some users wish to search for images based on the keywords in the content or hashtags, </w:t>
      </w:r>
      <w:r w:rsidR="00060441">
        <w:t xml:space="preserve">we implemented image retrieval which allows users to query for images that are posted in tweets. </w:t>
      </w:r>
      <w:r w:rsidR="003E528B">
        <w:t>This is important in solving specific problems</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lastRenderedPageBreak/>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lastRenderedPageBreak/>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491905" w:rsidRDefault="00491905" w:rsidP="00491905">
      <w:r>
        <w:t>An evaluation dataset</w:t>
      </w:r>
      <w:r w:rsidR="00D472D4">
        <w:t xml:space="preserve"> (</w:t>
      </w:r>
      <w:proofErr w:type="spellStart"/>
      <w:r w:rsidR="00D472D4">
        <w:t>TestingSet.arff</w:t>
      </w:r>
      <w:proofErr w:type="spellEnd"/>
      <w:r w:rsidR="00D472D4">
        <w:t>)</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Kappa formula was used</w:t>
      </w:r>
      <w:proofErr w:type="gramStart"/>
      <w:r w:rsidR="00B61CFF">
        <w:t xml:space="preserve">: </w:t>
      </w:r>
      <w:r>
        <w:t xml:space="preserve"> </w:t>
      </w:r>
      <w:proofErr w:type="gramEnd"/>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zh-CN"/>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w:t>
      </w:r>
      <w:proofErr w:type="spellStart"/>
      <w:r w:rsidR="00D472D4">
        <w:t>TraingSet.arff</w:t>
      </w:r>
      <w:proofErr w:type="spellEnd"/>
      <w:r w:rsidR="00D472D4">
        <w:t>)</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lastRenderedPageBreak/>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lastRenderedPageBreak/>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zh-CN"/>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zh-CN"/>
        </w:rPr>
        <w:lastRenderedPageBreak/>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zh-CN"/>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t xml:space="preserve">The classifiers with the top two results were selected to be used with Boosting. The implementation of boosting was </w:t>
      </w:r>
      <w:proofErr w:type="spellStart"/>
      <w:r>
        <w:t>Adaboost</w:t>
      </w:r>
      <w:proofErr w:type="spellEnd"/>
      <w:r>
        <w:t xml:space="preserve">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C17" w:rsidRPr="00927645" w:rsidRDefault="007F6C17" w:rsidP="00927645">
      <w:pPr>
        <w:spacing w:line="240" w:lineRule="auto"/>
      </w:pPr>
      <w:r>
        <w:separator/>
      </w:r>
    </w:p>
  </w:endnote>
  <w:endnote w:type="continuationSeparator" w:id="0">
    <w:p w:rsidR="007F6C17" w:rsidRPr="00927645" w:rsidRDefault="007F6C17"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B0681A" w:rsidRDefault="00B0681A">
        <w:pPr>
          <w:pStyle w:val="Footer"/>
          <w:jc w:val="right"/>
        </w:pPr>
        <w:r>
          <w:fldChar w:fldCharType="begin"/>
        </w:r>
        <w:r>
          <w:instrText xml:space="preserve"> PAGE   \* MERGEFORMAT </w:instrText>
        </w:r>
        <w:r>
          <w:fldChar w:fldCharType="separate"/>
        </w:r>
        <w:r w:rsidR="00261811">
          <w:rPr>
            <w:noProof/>
          </w:rPr>
          <w:t>6</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C17" w:rsidRPr="00927645" w:rsidRDefault="007F6C17" w:rsidP="00927645">
      <w:pPr>
        <w:spacing w:line="240" w:lineRule="auto"/>
      </w:pPr>
      <w:r>
        <w:separator/>
      </w:r>
    </w:p>
  </w:footnote>
  <w:footnote w:type="continuationSeparator" w:id="0">
    <w:p w:rsidR="007F6C17" w:rsidRPr="00927645" w:rsidRDefault="007F6C17"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CF5D20" w:rsidRDefault="00CF5D20" w:rsidP="00CF5D20">
      <w:pPr>
        <w:pStyle w:val="FootnoteText"/>
        <w:rPr>
          <w:color w:val="0563C1" w:themeColor="hyperlink"/>
          <w:u w:val="single"/>
        </w:rPr>
      </w:pPr>
      <w:r>
        <w:rPr>
          <w:rStyle w:val="FootnoteReference"/>
        </w:rPr>
        <w:footnoteRef/>
      </w:r>
      <w:r>
        <w:t xml:space="preserve"> </w:t>
      </w:r>
      <w:hyperlink r:id="rId3" w:history="1">
        <w:r>
          <w:rPr>
            <w:rStyle w:val="Hyperlink"/>
          </w:rPr>
          <w:t>http://design215.com/toolbox/wordlist.php</w:t>
        </w:r>
      </w:hyperlink>
      <w:r>
        <w:rPr>
          <w:rStyle w:val="Hyperlink"/>
        </w:rPr>
        <w:t xml:space="preserve"> </w:t>
      </w:r>
      <w:r>
        <w:t xml:space="preserve">and </w:t>
      </w:r>
      <w:hyperlink r:id="rId4" w:history="1">
        <w:r>
          <w:rPr>
            <w:rStyle w:val="Hyperlink"/>
          </w:rPr>
          <w:t>http://www.wordcounter.net/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E357E7"/>
    <w:multiLevelType w:val="hybridMultilevel"/>
    <w:tmpl w:val="77CE77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5"/>
  </w:num>
  <w:num w:numId="5">
    <w:abstractNumId w:val="24"/>
  </w:num>
  <w:num w:numId="6">
    <w:abstractNumId w:val="25"/>
  </w:num>
  <w:num w:numId="7">
    <w:abstractNumId w:val="17"/>
  </w:num>
  <w:num w:numId="8">
    <w:abstractNumId w:val="1"/>
  </w:num>
  <w:num w:numId="9">
    <w:abstractNumId w:val="15"/>
  </w:num>
  <w:num w:numId="10">
    <w:abstractNumId w:val="20"/>
  </w:num>
  <w:num w:numId="11">
    <w:abstractNumId w:val="11"/>
  </w:num>
  <w:num w:numId="12">
    <w:abstractNumId w:val="2"/>
  </w:num>
  <w:num w:numId="13">
    <w:abstractNumId w:val="19"/>
  </w:num>
  <w:num w:numId="14">
    <w:abstractNumId w:val="3"/>
  </w:num>
  <w:num w:numId="15">
    <w:abstractNumId w:val="4"/>
  </w:num>
  <w:num w:numId="16">
    <w:abstractNumId w:val="14"/>
  </w:num>
  <w:num w:numId="17">
    <w:abstractNumId w:val="21"/>
  </w:num>
  <w:num w:numId="18">
    <w:abstractNumId w:val="22"/>
  </w:num>
  <w:num w:numId="19">
    <w:abstractNumId w:val="23"/>
  </w:num>
  <w:num w:numId="20">
    <w:abstractNumId w:val="18"/>
  </w:num>
  <w:num w:numId="21">
    <w:abstractNumId w:val="6"/>
  </w:num>
  <w:num w:numId="22">
    <w:abstractNumId w:val="10"/>
  </w:num>
  <w:num w:numId="23">
    <w:abstractNumId w:val="7"/>
  </w:num>
  <w:num w:numId="24">
    <w:abstractNumId w:val="8"/>
  </w:num>
  <w:num w:numId="25">
    <w:abstractNumId w:val="16"/>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0441"/>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2514"/>
    <w:rsid w:val="00202371"/>
    <w:rsid w:val="00215292"/>
    <w:rsid w:val="0025580A"/>
    <w:rsid w:val="00261412"/>
    <w:rsid w:val="00261811"/>
    <w:rsid w:val="0029631B"/>
    <w:rsid w:val="002A3C4B"/>
    <w:rsid w:val="002C6FB4"/>
    <w:rsid w:val="00306C6F"/>
    <w:rsid w:val="00307E6F"/>
    <w:rsid w:val="00327998"/>
    <w:rsid w:val="00336679"/>
    <w:rsid w:val="00344F3B"/>
    <w:rsid w:val="003D4343"/>
    <w:rsid w:val="003D797E"/>
    <w:rsid w:val="003E11E4"/>
    <w:rsid w:val="003E528B"/>
    <w:rsid w:val="003E66C6"/>
    <w:rsid w:val="003F1422"/>
    <w:rsid w:val="003F15C8"/>
    <w:rsid w:val="003F3D19"/>
    <w:rsid w:val="00416F89"/>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2F35"/>
    <w:rsid w:val="00684DF4"/>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7F6C17"/>
    <w:rsid w:val="0082384D"/>
    <w:rsid w:val="00826BC3"/>
    <w:rsid w:val="008319F9"/>
    <w:rsid w:val="008471B5"/>
    <w:rsid w:val="00853786"/>
    <w:rsid w:val="008615EC"/>
    <w:rsid w:val="00877B13"/>
    <w:rsid w:val="008B22D6"/>
    <w:rsid w:val="008F1B4A"/>
    <w:rsid w:val="008F7585"/>
    <w:rsid w:val="00900EF2"/>
    <w:rsid w:val="009169F2"/>
    <w:rsid w:val="009176AC"/>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6010D"/>
    <w:rsid w:val="00A77D3E"/>
    <w:rsid w:val="00A9664C"/>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5D20"/>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customStyle="1"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 w:id="21002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 Id="rId4" Type="http://schemas.openxmlformats.org/officeDocument/2006/relationships/hyperlink" Target="http://www.wordcounter.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marker val="1"/>
        <c:smooth val="0"/>
        <c:axId val="41500672"/>
        <c:axId val="41502208"/>
      </c:lineChart>
      <c:catAx>
        <c:axId val="415006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502208"/>
        <c:crosses val="autoZero"/>
        <c:auto val="1"/>
        <c:lblAlgn val="ctr"/>
        <c:lblOffset val="100"/>
        <c:noMultiLvlLbl val="0"/>
      </c:catAx>
      <c:valAx>
        <c:axId val="415022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50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B46CC-F4AD-4F01-BAEE-6465CAAC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12</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160</cp:revision>
  <dcterms:created xsi:type="dcterms:W3CDTF">2015-03-08T01:26:00Z</dcterms:created>
  <dcterms:modified xsi:type="dcterms:W3CDTF">2015-04-11T11:04:00Z</dcterms:modified>
</cp:coreProperties>
</file>