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ind w:firstLine="0"/>
        <w:jc w:val="center"/>
      </w:pPr>
      <w:r>
        <w:rPr>
          <w:rFonts w:ascii="Times New Roman" w:hAnsi="Times New Roman" w:eastAsia="Times New Roman"/>
          <w:b/>
          <w:sz w:val="20"/>
        </w:rPr>
        <w:t>Academic Project Report · Big-Data Systems</w:t>
      </w:r>
    </w:p>
    <w:p>
      <w:pPr>
        <w:keepNext/>
        <w:spacing w:before="80" w:after="280" w:line="276" w:lineRule="auto"/>
        <w:ind w:firstLine="0"/>
        <w:jc w:val="center"/>
      </w:pPr>
      <w:r>
        <w:rPr>
          <w:rFonts w:ascii="Times New Roman" w:hAnsi="Times New Roman" w:eastAsia="Times New Roman"/>
          <w:b/>
          <w:sz w:val="40"/>
        </w:rPr>
        <w:t>Newsroom Pulse: A Near-Real-Time Big-Data Architecture for Multilingual News Sentiment Monitoring</w:t>
      </w:r>
    </w:p>
    <w:p>
      <w:pPr>
        <w:spacing w:after="60"/>
        <w:ind w:firstLine="0"/>
        <w:jc w:val="center"/>
      </w:pPr>
      <w:r>
        <w:rPr>
          <w:rFonts w:ascii="Times New Roman" w:hAnsi="Times New Roman" w:eastAsia="Times New Roman"/>
          <w:sz w:val="24"/>
        </w:rPr>
        <w:t>Newsroom Pulse Project Team</w:t>
      </w:r>
    </w:p>
    <w:p>
      <w:pPr>
        <w:spacing w:after="240"/>
        <w:ind w:firstLine="0"/>
        <w:jc w:val="center"/>
      </w:pPr>
      <w:r>
        <w:rPr>
          <w:rFonts w:ascii="Times New Roman" w:hAnsi="Times New Roman" w:eastAsia="Times New Roman"/>
          <w:sz w:val="22"/>
        </w:rPr>
        <w:t>International and Nepali News Monitoring</w:t>
      </w:r>
    </w:p>
    <w:p>
      <w:pPr>
        <w:spacing w:line="360" w:lineRule="auto" w:after="120"/>
        <w:ind w:firstLine="0"/>
        <w:jc w:val="both"/>
      </w:pPr>
      <w:r>
        <w:rPr>
          <w:rFonts w:ascii="Times New Roman" w:hAnsi="Times New Roman" w:eastAsia="Times New Roman"/>
          <w:b/>
          <w:i w:val="0"/>
          <w:sz w:val="23"/>
        </w:rPr>
        <w:t>Abstract.</w:t>
      </w:r>
      <w:r>
        <w:rPr>
          <w:rFonts w:ascii="Times New Roman" w:hAnsi="Times New Roman" w:eastAsia="Times New Roman"/>
          <w:b w:val="0"/>
          <w:i w:val="0"/>
          <w:sz w:val="23"/>
        </w:rPr>
        <w:t xml:space="preserve"> This report describes the design of Newsroom Pulse, a near-real-time pipeline for source-aware monitoring of international and Nepali news headlines. The system objective is to collect RSS records, preserve publisher and regional provenance, suppress exact-title duplicates before external inference, estimate headline-level sentiment, persist enriched records, and present recent stories and aggregates. The configured source inventory contains 19 feeds: 12 international and 7 Nepali. A Python producer publishes normalized JSON records to Apache Kafka; Apache Spark Structured Streaming consumes bounded micro-batches, performs persistent and within-batch title checks, and submits region-specific batches of at most five headline titles to Cloudflare Workers AI, with Gemini as a fallback. MongoDB stores article metadata and analysis fields, while a Streamlit application queries the collection for regional views and time-window summaries. The report defines the problem, data contract, storage strategy, component rationale, processing sequence, and evaluation protocol. It distinguishes configured design parameters from empirical performance: the implementation has a single Spark worker, driver-side micro-batch collection, process-local provider pacing, and no configured broker replication beyond a factor of one. Consequently, throughput, latency, and sentiment-quality outcomes require separate measurement and are not inferred from configuration alone.</w:t>
      </w:r>
    </w:p>
    <w:p>
      <w:pPr>
        <w:pStyle w:val="Heading1"/>
        <w:keepNext/>
        <w:ind w:firstLine="0"/>
        <w:jc w:val="left"/>
      </w:pPr>
      <w:r>
        <w:rPr>
          <w:rFonts w:ascii="Times New Roman" w:hAnsi="Times New Roman" w:eastAsia="Times New Roman"/>
          <w:b/>
          <w:sz w:val="28"/>
        </w:rPr>
        <w:t>1. Introduction and Problem Definition</w:t>
      </w:r>
    </w:p>
    <w:p>
      <w:pPr>
        <w:pStyle w:val="Heading2"/>
        <w:keepNext/>
        <w:ind w:firstLine="0"/>
        <w:jc w:val="left"/>
      </w:pPr>
      <w:r>
        <w:rPr>
          <w:rFonts w:ascii="Times New Roman" w:hAnsi="Times New Roman" w:eastAsia="Times New Roman"/>
          <w:b/>
          <w:sz w:val="24"/>
        </w:rPr>
        <w:t>1.1 Problem Context</w:t>
      </w:r>
    </w:p>
    <w:p>
      <w:pPr>
        <w:spacing w:line="360" w:lineRule="auto" w:after="120"/>
        <w:ind w:firstLine="403"/>
        <w:jc w:val="both"/>
      </w:pPr>
      <w:r>
        <w:rPr>
          <w:rFonts w:ascii="Times New Roman" w:hAnsi="Times New Roman" w:eastAsia="Times New Roman"/>
          <w:b w:val="0"/>
          <w:i w:val="0"/>
          <w:sz w:val="24"/>
        </w:rPr>
        <w:t>Digital newsrooms and media-monitoring teams receive reports from a heterogeneous set of publishers. A source-by-source manual workflow makes it difficult to maintain timely situational awareness, preserve source provenance, identify repeated headlines, and compare coverage across geographic or linguistic groups. The problem is particularly relevant when Nepali headlines use Devanagari, Romanized Nepali, English, or mixtures of these forms.</w:t>
      </w:r>
    </w:p>
    <w:p>
      <w:pPr>
        <w:pStyle w:val="Heading2"/>
        <w:keepNext/>
        <w:ind w:firstLine="0"/>
        <w:jc w:val="left"/>
      </w:pPr>
      <w:r>
        <w:rPr>
          <w:rFonts w:ascii="Times New Roman" w:hAnsi="Times New Roman" w:eastAsia="Times New Roman"/>
          <w:b/>
          <w:sz w:val="24"/>
        </w:rPr>
        <w:t>1.2 Objectives and Scope</w:t>
      </w:r>
    </w:p>
    <w:p>
      <w:pPr>
        <w:spacing w:line="360" w:lineRule="auto" w:after="120"/>
        <w:ind w:firstLine="403"/>
        <w:jc w:val="both"/>
      </w:pPr>
      <w:r>
        <w:rPr>
          <w:rFonts w:ascii="Times New Roman" w:hAnsi="Times New Roman" w:eastAsia="Times New Roman"/>
          <w:b w:val="0"/>
          <w:i w:val="0"/>
          <w:sz w:val="24"/>
        </w:rPr>
        <w:t>Newsroom Pulse addresses this problem as a data-engineering and decision-support task. Its objective is to convert publisher-supplied RSS items into source-attributed records, use a stream-processing path to remove exact-title duplicates before paid inference, assign a bounded polarity/impact score from each headline, store the result, and expose the records through a region-aware dashboard. The component separation prevents the dashboard from directly depending on the availability or latency of every feed and model provider.</w:t>
      </w:r>
    </w:p>
    <w:p>
      <w:pPr>
        <w:pStyle w:val="Heading2"/>
        <w:keepNext/>
        <w:ind w:firstLine="0"/>
        <w:jc w:val="left"/>
      </w:pPr>
      <w:r>
        <w:rPr>
          <w:rFonts w:ascii="Times New Roman" w:hAnsi="Times New Roman" w:eastAsia="Times New Roman"/>
          <w:b/>
          <w:sz w:val="24"/>
        </w:rPr>
        <w:t>1.2.1 Analytical Target</w:t>
      </w:r>
    </w:p>
    <w:p>
      <w:pPr>
        <w:spacing w:line="360" w:lineRule="auto" w:after="120"/>
        <w:ind w:firstLine="403"/>
        <w:jc w:val="both"/>
      </w:pPr>
      <w:r>
        <w:rPr>
          <w:rFonts w:ascii="Times New Roman" w:hAnsi="Times New Roman" w:eastAsia="Times New Roman"/>
          <w:b w:val="0"/>
          <w:i w:val="0"/>
          <w:sz w:val="24"/>
        </w:rPr>
        <w:t>The analytical target is deliberately narrow. The model receives the title, not the full article. A resulting score estimates the polarity of the event or outcome stated in that title; it does not establish factual truth, article quality, causal impact, or public opinion. Sentiment analysis is context-dependent, and headline-only classification omits article context and may be ambiguous (Pang &amp; Lee, 2008). The score is therefore a triage signal rather than a substitute for editorial judgment.</w:t>
      </w:r>
    </w:p>
    <w:p>
      <w:pPr>
        <w:pStyle w:val="Heading2"/>
        <w:keepNext/>
        <w:ind w:firstLine="0"/>
        <w:jc w:val="left"/>
      </w:pPr>
      <w:r>
        <w:rPr>
          <w:rFonts w:ascii="Times New Roman" w:hAnsi="Times New Roman" w:eastAsia="Times New Roman"/>
          <w:b/>
          <w:sz w:val="24"/>
        </w:rPr>
        <w:t>1.2.2 System Boundary</w:t>
      </w:r>
    </w:p>
    <w:p>
      <w:pPr>
        <w:spacing w:line="360" w:lineRule="auto" w:after="120"/>
        <w:ind w:firstLine="403"/>
        <w:jc w:val="both"/>
      </w:pPr>
      <w:r>
        <w:rPr>
          <w:rFonts w:ascii="Times New Roman" w:hAnsi="Times New Roman" w:eastAsia="Times New Roman"/>
          <w:b w:val="0"/>
          <w:i w:val="0"/>
          <w:sz w:val="24"/>
        </w:rPr>
        <w:t>The system boundary begins at publisher-operated RSS/Atom endpoints and ends at the MongoDB-backed dashboard. Website crawling, article-body retrieval, claim verification, and user-level opinion measurement are outside the scope. The report treats configured values and source code as evidence of design behavior; it does not convert those configuration facts into measured service-level results.</w:t>
      </w:r>
    </w:p>
    <w:p>
      <w:pPr>
        <w:pStyle w:val="Heading1"/>
        <w:keepNext/>
        <w:ind w:firstLine="0"/>
        <w:jc w:val="left"/>
      </w:pPr>
      <w:r>
        <w:rPr>
          <w:rFonts w:ascii="Times New Roman" w:hAnsi="Times New Roman" w:eastAsia="Times New Roman"/>
          <w:b/>
          <w:sz w:val="28"/>
        </w:rPr>
        <w:t>2. Data Sources and Design Requirements</w:t>
      </w:r>
    </w:p>
    <w:p>
      <w:pPr>
        <w:pStyle w:val="Heading2"/>
        <w:keepNext/>
        <w:ind w:firstLine="0"/>
        <w:jc w:val="left"/>
      </w:pPr>
      <w:r>
        <w:rPr>
          <w:rFonts w:ascii="Times New Roman" w:hAnsi="Times New Roman" w:eastAsia="Times New Roman"/>
          <w:b/>
          <w:sz w:val="24"/>
        </w:rPr>
        <w:t>2.1 Publisher Sources</w:t>
      </w:r>
    </w:p>
    <w:p>
      <w:pPr>
        <w:spacing w:line="360" w:lineRule="auto" w:after="120"/>
        <w:ind w:firstLine="403"/>
        <w:jc w:val="both"/>
      </w:pPr>
      <w:r>
        <w:rPr>
          <w:rFonts w:ascii="Times New Roman" w:hAnsi="Times New Roman" w:eastAsia="Times New Roman"/>
          <w:b w:val="0"/>
          <w:i w:val="0"/>
          <w:sz w:val="24"/>
        </w:rPr>
        <w:t>The producer configuration enumerates 19 endpoints, comprising 12 international and 7 Nepali publishers. The international set includes general news, public broadcasting, and international outlets; the Nepali set includes national publishers. Appendix A records the configured endpoint URLs. RSS is a publisher-supplied syndication format, and the feed inventory should be interpreted as configuration rather than a guarantee of endpoint availability (RSS Advisory Board, n.d.).</w:t>
      </w:r>
    </w:p>
    <w:p>
      <w:pPr>
        <w:spacing w:line="360" w:lineRule="auto" w:after="120"/>
        <w:ind w:firstLine="403"/>
        <w:jc w:val="both"/>
      </w:pPr>
      <w:r>
        <w:rPr>
          <w:rFonts w:ascii="Times New Roman" w:hAnsi="Times New Roman" w:eastAsia="Times New Roman"/>
          <w:b w:val="0"/>
          <w:i w:val="0"/>
          <w:sz w:val="24"/>
        </w:rPr>
        <w:t>The producer interleaves the two regions in its polling list, fetches endpoints sequentially, and parses RSS/Atom responses with feedparser. Each request has a 30-second timeout. The loop sleeps for 60 seconds after a complete pass; therefore, the interval between the start of consecutive passes is the accumulated feed-request time plus the configured sleep, not a guaranteed 60-second polling interval.</w:t>
      </w:r>
    </w:p>
    <w:p>
      <w:pPr>
        <w:pStyle w:val="Heading2"/>
        <w:keepNext/>
        <w:ind w:firstLine="0"/>
        <w:jc w:val="left"/>
      </w:pPr>
      <w:r>
        <w:rPr>
          <w:rFonts w:ascii="Times New Roman" w:hAnsi="Times New Roman" w:eastAsia="Times New Roman"/>
          <w:b/>
          <w:sz w:val="24"/>
        </w:rPr>
        <w:t>2.2 Design Requirements</w:t>
      </w:r>
    </w:p>
    <w:p>
      <w:pPr>
        <w:spacing w:line="360" w:lineRule="auto" w:after="80"/>
        <w:ind w:left="461" w:hanging="461"/>
        <w:jc w:val="both"/>
      </w:pPr>
      <w:r>
        <w:rPr>
          <w:rFonts w:ascii="Times New Roman" w:hAnsi="Times New Roman" w:eastAsia="Times New Roman"/>
          <w:sz w:val="24"/>
        </w:rPr>
        <w:t xml:space="preserve">1. </w:t>
      </w:r>
      <w:r>
        <w:rPr>
          <w:rFonts w:ascii="Times New Roman" w:hAnsi="Times New Roman" w:eastAsia="Times New Roman"/>
          <w:b/>
          <w:i w:val="0"/>
          <w:sz w:val="24"/>
        </w:rPr>
        <w:t>Provenance.</w:t>
      </w:r>
      <w:r>
        <w:rPr>
          <w:rFonts w:ascii="Times New Roman" w:hAnsi="Times New Roman" w:eastAsia="Times New Roman"/>
          <w:b w:val="0"/>
          <w:i w:val="0"/>
          <w:sz w:val="24"/>
        </w:rPr>
        <w:t xml:space="preserve"> Each record retains publisher, region, source link, publication time where supplied, and UTC ingestion time so that dashboard results remain attributable and temporally interpretable.</w:t>
      </w:r>
    </w:p>
    <w:p>
      <w:pPr>
        <w:spacing w:line="360" w:lineRule="auto" w:after="80"/>
        <w:ind w:left="461" w:hanging="461"/>
        <w:jc w:val="both"/>
      </w:pPr>
      <w:r>
        <w:rPr>
          <w:rFonts w:ascii="Times New Roman" w:hAnsi="Times New Roman" w:eastAsia="Times New Roman"/>
          <w:sz w:val="24"/>
        </w:rPr>
        <w:t xml:space="preserve">2. </w:t>
      </w:r>
      <w:r>
        <w:rPr>
          <w:rFonts w:ascii="Times New Roman" w:hAnsi="Times New Roman" w:eastAsia="Times New Roman"/>
          <w:b/>
          <w:i w:val="0"/>
          <w:sz w:val="24"/>
        </w:rPr>
        <w:t>Input robustness.</w:t>
      </w:r>
      <w:r>
        <w:rPr>
          <w:rFonts w:ascii="Times New Roman" w:hAnsi="Times New Roman" w:eastAsia="Times New Roman"/>
          <w:b w:val="0"/>
          <w:i w:val="0"/>
          <w:sz w:val="24"/>
        </w:rPr>
        <w:t xml:space="preserve"> Parsing must tolerate heterogeneous RSS/Atom structures, malformed XML, absent timestamps, and optional excerpts. Recovered entries are usable only when the producer can form a record with a title and link.</w:t>
      </w:r>
    </w:p>
    <w:p>
      <w:pPr>
        <w:spacing w:line="360" w:lineRule="auto" w:after="80"/>
        <w:ind w:left="461" w:hanging="461"/>
        <w:jc w:val="both"/>
      </w:pPr>
      <w:r>
        <w:rPr>
          <w:rFonts w:ascii="Times New Roman" w:hAnsi="Times New Roman" w:eastAsia="Times New Roman"/>
          <w:sz w:val="24"/>
        </w:rPr>
        <w:t xml:space="preserve">3. </w:t>
      </w:r>
      <w:r>
        <w:rPr>
          <w:rFonts w:ascii="Times New Roman" w:hAnsi="Times New Roman" w:eastAsia="Times New Roman"/>
          <w:b/>
          <w:i w:val="0"/>
          <w:sz w:val="24"/>
        </w:rPr>
        <w:t>Pre-inference deduplication.</w:t>
      </w:r>
      <w:r>
        <w:rPr>
          <w:rFonts w:ascii="Times New Roman" w:hAnsi="Times New Roman" w:eastAsia="Times New Roman"/>
          <w:b w:val="0"/>
          <w:i w:val="0"/>
          <w:sz w:val="24"/>
        </w:rPr>
        <w:t xml:space="preserve"> Repeated exact titles should be removed against both the current Spark batch and persisted MongoDB titles before model requests, avoiding repeated inference for the same title in the active consumer path.</w:t>
      </w:r>
    </w:p>
    <w:p>
      <w:pPr>
        <w:spacing w:line="360" w:lineRule="auto" w:after="80"/>
        <w:ind w:left="461" w:hanging="461"/>
        <w:jc w:val="both"/>
      </w:pPr>
      <w:r>
        <w:rPr>
          <w:rFonts w:ascii="Times New Roman" w:hAnsi="Times New Roman" w:eastAsia="Times New Roman"/>
          <w:sz w:val="24"/>
        </w:rPr>
        <w:t xml:space="preserve">4. </w:t>
      </w:r>
      <w:r>
        <w:rPr>
          <w:rFonts w:ascii="Times New Roman" w:hAnsi="Times New Roman" w:eastAsia="Times New Roman"/>
          <w:b/>
          <w:i w:val="0"/>
          <w:sz w:val="24"/>
        </w:rPr>
        <w:t>Regional language handling.</w:t>
      </w:r>
      <w:r>
        <w:rPr>
          <w:rFonts w:ascii="Times New Roman" w:hAnsi="Times New Roman" w:eastAsia="Times New Roman"/>
          <w:b w:val="0"/>
          <w:i w:val="0"/>
          <w:sz w:val="24"/>
        </w:rPr>
        <w:t xml:space="preserve"> Region determines prompt and credential selection. Nepali instructions are written in English and allow Devanagari Nepali, Romanized Nepali, English, and mixed-language titles.</w:t>
      </w:r>
    </w:p>
    <w:p>
      <w:pPr>
        <w:spacing w:line="360" w:lineRule="auto" w:after="80"/>
        <w:ind w:left="461" w:hanging="461"/>
        <w:jc w:val="both"/>
      </w:pPr>
      <w:r>
        <w:rPr>
          <w:rFonts w:ascii="Times New Roman" w:hAnsi="Times New Roman" w:eastAsia="Times New Roman"/>
          <w:sz w:val="24"/>
        </w:rPr>
        <w:t xml:space="preserve">5. </w:t>
      </w:r>
      <w:r>
        <w:rPr>
          <w:rFonts w:ascii="Times New Roman" w:hAnsi="Times New Roman" w:eastAsia="Times New Roman"/>
          <w:b/>
          <w:i w:val="0"/>
          <w:sz w:val="24"/>
        </w:rPr>
        <w:t>Bounded model requests.</w:t>
      </w:r>
      <w:r>
        <w:rPr>
          <w:rFonts w:ascii="Times New Roman" w:hAnsi="Times New Roman" w:eastAsia="Times New Roman"/>
          <w:b w:val="0"/>
          <w:i w:val="0"/>
          <w:sz w:val="24"/>
        </w:rPr>
        <w:t xml:space="preserve"> Requests contain no more than five titles from one region, use stable item identifiers and a constrained JSON response, and are paced to limit request bursts.</w:t>
      </w:r>
    </w:p>
    <w:p>
      <w:pPr>
        <w:spacing w:line="360" w:lineRule="auto" w:after="80"/>
        <w:ind w:left="461" w:hanging="461"/>
        <w:jc w:val="both"/>
      </w:pPr>
      <w:r>
        <w:rPr>
          <w:rFonts w:ascii="Times New Roman" w:hAnsi="Times New Roman" w:eastAsia="Times New Roman"/>
          <w:sz w:val="24"/>
        </w:rPr>
        <w:t xml:space="preserve">6. </w:t>
      </w:r>
      <w:r>
        <w:rPr>
          <w:rFonts w:ascii="Times New Roman" w:hAnsi="Times New Roman" w:eastAsia="Times New Roman"/>
          <w:b/>
          <w:i w:val="0"/>
          <w:sz w:val="24"/>
        </w:rPr>
        <w:t>Persistent and queryable output.</w:t>
      </w:r>
      <w:r>
        <w:rPr>
          <w:rFonts w:ascii="Times New Roman" w:hAnsi="Times New Roman" w:eastAsia="Times New Roman"/>
          <w:b w:val="0"/>
          <w:i w:val="0"/>
          <w:sz w:val="24"/>
        </w:rPr>
        <w:t xml:space="preserve"> The stored document must retain the original source metadata alongside sentiment fields so the dashboard can filter by region and time without re-fetching the feeds.</w:t>
      </w:r>
    </w:p>
    <w:p>
      <w:pPr>
        <w:spacing w:line="360" w:lineRule="auto" w:after="80"/>
        <w:ind w:left="461" w:hanging="461"/>
        <w:jc w:val="both"/>
      </w:pPr>
      <w:r>
        <w:rPr>
          <w:rFonts w:ascii="Times New Roman" w:hAnsi="Times New Roman" w:eastAsia="Times New Roman"/>
          <w:sz w:val="24"/>
        </w:rPr>
        <w:t xml:space="preserve">7. </w:t>
      </w:r>
      <w:r>
        <w:rPr>
          <w:rFonts w:ascii="Times New Roman" w:hAnsi="Times New Roman" w:eastAsia="Times New Roman"/>
          <w:b/>
          <w:i w:val="0"/>
          <w:sz w:val="24"/>
        </w:rPr>
        <w:t>Data minimization and credential isolation.</w:t>
      </w:r>
      <w:r>
        <w:rPr>
          <w:rFonts w:ascii="Times New Roman" w:hAnsi="Times New Roman" w:eastAsia="Times New Roman"/>
          <w:b w:val="0"/>
          <w:i w:val="0"/>
          <w:sz w:val="24"/>
        </w:rPr>
        <w:t xml:space="preserve"> Only the title is sent to an inference provider. Provider credentials are supplied through ignored local environment files rather than source code or report artifacts.</w:t>
      </w:r>
    </w:p>
    <w:p>
      <w:pPr>
        <w:pStyle w:val="Heading1"/>
        <w:keepNext/>
        <w:ind w:firstLine="0"/>
        <w:jc w:val="left"/>
      </w:pPr>
      <w:r>
        <w:rPr>
          <w:rFonts w:ascii="Times New Roman" w:hAnsi="Times New Roman" w:eastAsia="Times New Roman"/>
          <w:b/>
          <w:sz w:val="28"/>
        </w:rPr>
        <w:t>3. Data Contract and Sentiment Representation</w:t>
      </w:r>
    </w:p>
    <w:p>
      <w:pPr>
        <w:spacing w:line="360" w:lineRule="auto" w:after="120"/>
        <w:ind w:firstLine="403"/>
        <w:jc w:val="both"/>
      </w:pPr>
      <w:r>
        <w:rPr>
          <w:rFonts w:ascii="Times New Roman" w:hAnsi="Times New Roman" w:eastAsia="Times New Roman"/>
          <w:b w:val="0"/>
          <w:i w:val="0"/>
          <w:sz w:val="24"/>
        </w:rPr>
        <w:t>Each producer event is a JSON record with the fields summarized in Table 1. The RSS excerpt is cleaned and capped at 6,000 characters when present; it remains available for display and coverage analysis but is excluded from the model request. Publisher time is taken from the published timestamp, falling back to the updated timestamp; ingestion time is assigned in UTC before publication to Kafka.</w:t>
      </w:r>
    </w:p>
    <w:p>
      <w:pPr>
        <w:keepNext/>
        <w:spacing w:line="360" w:lineRule="auto" w:after="60" w:before="120"/>
        <w:ind w:firstLine="0"/>
        <w:jc w:val="left"/>
      </w:pPr>
      <w:r>
        <w:rPr>
          <w:rFonts w:ascii="Times New Roman" w:hAnsi="Times New Roman" w:eastAsia="Times New Roman"/>
          <w:b/>
          <w:i w:val="0"/>
          <w:sz w:val="20"/>
        </w:rPr>
        <w:t>Table 1. News record fields and interpretation</w:t>
      </w:r>
    </w:p>
    <w:tbl>
      <w:tblPr>
        <w:tblStyle w:val="TableGrid"/>
        <w:tblW w:type="auto" w:w="0"/>
        <w:jc w:val="center"/>
        <w:tblLayout w:type="fixed"/>
        <w:tblLook w:firstColumn="1" w:firstRow="1" w:lastColumn="0" w:lastRow="0" w:noHBand="0" w:noVBand="1" w:val="04A0"/>
      </w:tblPr>
      <w:tblGrid>
        <w:gridCol w:w="4513"/>
        <w:gridCol w:w="4513"/>
      </w:tblGrid>
      <w:tr>
        <w:trPr>
          <w:tblHeader w:val="true"/>
        </w:trPr>
        <w:tc>
          <w:tcPr>
            <w:tcW w:type="dxa" w:w="2520"/>
            <w:vAlign w:val="top"/>
            <w:shd w:fill="EAEAEA"/>
          </w:tcPr>
          <w:p>
            <w:pPr>
              <w:spacing w:after="0" w:line="276" w:lineRule="auto"/>
              <w:ind w:firstLine="0"/>
              <w:jc w:val="left"/>
            </w:pPr>
            <w:r>
              <w:rPr>
                <w:rFonts w:ascii="Times New Roman" w:hAnsi="Times New Roman" w:eastAsia="Times New Roman"/>
                <w:b/>
                <w:i w:val="0"/>
                <w:sz w:val="20"/>
              </w:rPr>
              <w:t>Field group</w:t>
            </w:r>
          </w:p>
        </w:tc>
        <w:tc>
          <w:tcPr>
            <w:tcW w:type="dxa" w:w="6509"/>
            <w:vAlign w:val="top"/>
            <w:shd w:fill="EAEAEA"/>
          </w:tcPr>
          <w:p>
            <w:pPr>
              <w:spacing w:after="0" w:line="276" w:lineRule="auto"/>
              <w:ind w:firstLine="0"/>
              <w:jc w:val="left"/>
            </w:pPr>
            <w:r>
              <w:rPr>
                <w:rFonts w:ascii="Times New Roman" w:hAnsi="Times New Roman" w:eastAsia="Times New Roman"/>
                <w:b/>
                <w:i w:val="0"/>
                <w:sz w:val="20"/>
              </w:rPr>
              <w:t>Definition and use</w:t>
            </w:r>
          </w:p>
        </w:tc>
      </w:tr>
      <w:tr>
        <w:tc>
          <w:tcPr>
            <w:tcW w:type="dxa" w:w="2520"/>
            <w:vAlign w:val="top"/>
          </w:tcPr>
          <w:p>
            <w:pPr>
              <w:spacing w:after="0" w:line="276" w:lineRule="auto"/>
              <w:ind w:firstLine="0"/>
              <w:jc w:val="left"/>
            </w:pPr>
            <w:r>
              <w:rPr>
                <w:rFonts w:ascii="Times New Roman" w:hAnsi="Times New Roman" w:eastAsia="Times New Roman"/>
                <w:b w:val="0"/>
                <w:i w:val="0"/>
                <w:sz w:val="20"/>
              </w:rPr>
              <w:t>title</w:t>
            </w:r>
          </w:p>
        </w:tc>
        <w:tc>
          <w:tcPr>
            <w:tcW w:type="dxa" w:w="6509"/>
            <w:vAlign w:val="top"/>
          </w:tcPr>
          <w:p>
            <w:pPr>
              <w:spacing w:after="0" w:line="276" w:lineRule="auto"/>
              <w:ind w:firstLine="0"/>
              <w:jc w:val="left"/>
            </w:pPr>
            <w:r>
              <w:rPr>
                <w:rFonts w:ascii="Times New Roman" w:hAnsi="Times New Roman" w:eastAsia="Times New Roman"/>
                <w:b w:val="0"/>
                <w:i w:val="0"/>
                <w:sz w:val="20"/>
              </w:rPr>
              <w:t>Headline text; the sole article content sent to the sentiment provider.</w:t>
            </w:r>
          </w:p>
        </w:tc>
      </w:tr>
      <w:tr>
        <w:tc>
          <w:tcPr>
            <w:tcW w:type="dxa" w:w="2520"/>
            <w:vAlign w:val="top"/>
          </w:tcPr>
          <w:p>
            <w:pPr>
              <w:spacing w:after="0" w:line="276" w:lineRule="auto"/>
              <w:ind w:firstLine="0"/>
              <w:jc w:val="left"/>
            </w:pPr>
            <w:r>
              <w:rPr>
                <w:rFonts w:ascii="Times New Roman" w:hAnsi="Times New Roman" w:eastAsia="Times New Roman"/>
                <w:b w:val="0"/>
                <w:i w:val="0"/>
                <w:sz w:val="20"/>
              </w:rPr>
              <w:t>text</w:t>
            </w:r>
          </w:p>
        </w:tc>
        <w:tc>
          <w:tcPr>
            <w:tcW w:type="dxa" w:w="6509"/>
            <w:vAlign w:val="top"/>
          </w:tcPr>
          <w:p>
            <w:pPr>
              <w:spacing w:after="0" w:line="276" w:lineRule="auto"/>
              <w:ind w:firstLine="0"/>
              <w:jc w:val="left"/>
            </w:pPr>
            <w:r>
              <w:rPr>
                <w:rFonts w:ascii="Times New Roman" w:hAnsi="Times New Roman" w:eastAsia="Times New Roman"/>
                <w:b w:val="0"/>
                <w:i w:val="0"/>
                <w:sz w:val="20"/>
              </w:rPr>
              <w:t>Optional cleaned RSS excerpt, capped at 6,000 characters; retained but not scored.</w:t>
            </w:r>
          </w:p>
        </w:tc>
      </w:tr>
      <w:tr>
        <w:tc>
          <w:tcPr>
            <w:tcW w:type="dxa" w:w="2520"/>
            <w:vAlign w:val="top"/>
          </w:tcPr>
          <w:p>
            <w:pPr>
              <w:spacing w:after="0" w:line="276" w:lineRule="auto"/>
              <w:ind w:firstLine="0"/>
              <w:jc w:val="left"/>
            </w:pPr>
            <w:r>
              <w:rPr>
                <w:rFonts w:ascii="Times New Roman" w:hAnsi="Times New Roman" w:eastAsia="Times New Roman"/>
                <w:b w:val="0"/>
                <w:i w:val="0"/>
                <w:sz w:val="20"/>
              </w:rPr>
              <w:t>link, source, region</w:t>
            </w:r>
          </w:p>
        </w:tc>
        <w:tc>
          <w:tcPr>
            <w:tcW w:type="dxa" w:w="6509"/>
            <w:vAlign w:val="top"/>
          </w:tcPr>
          <w:p>
            <w:pPr>
              <w:spacing w:after="0" w:line="276" w:lineRule="auto"/>
              <w:ind w:firstLine="0"/>
              <w:jc w:val="left"/>
            </w:pPr>
            <w:r>
              <w:rPr>
                <w:rFonts w:ascii="Times New Roman" w:hAnsi="Times New Roman" w:eastAsia="Times New Roman"/>
                <w:b w:val="0"/>
                <w:i w:val="0"/>
                <w:sz w:val="20"/>
              </w:rPr>
              <w:t>Publisher URL, publisher label, and International or Nepali classification.</w:t>
            </w:r>
          </w:p>
        </w:tc>
      </w:tr>
      <w:tr>
        <w:tc>
          <w:tcPr>
            <w:tcW w:type="dxa" w:w="2520"/>
            <w:vAlign w:val="top"/>
          </w:tcPr>
          <w:p>
            <w:pPr>
              <w:spacing w:after="0" w:line="276" w:lineRule="auto"/>
              <w:ind w:firstLine="0"/>
              <w:jc w:val="left"/>
            </w:pPr>
            <w:r>
              <w:rPr>
                <w:rFonts w:ascii="Times New Roman" w:hAnsi="Times New Roman" w:eastAsia="Times New Roman"/>
                <w:b w:val="0"/>
                <w:i w:val="0"/>
                <w:sz w:val="20"/>
              </w:rPr>
              <w:t>published_at</w:t>
            </w:r>
          </w:p>
        </w:tc>
        <w:tc>
          <w:tcPr>
            <w:tcW w:type="dxa" w:w="6509"/>
            <w:vAlign w:val="top"/>
          </w:tcPr>
          <w:p>
            <w:pPr>
              <w:spacing w:after="0" w:line="276" w:lineRule="auto"/>
              <w:ind w:firstLine="0"/>
              <w:jc w:val="left"/>
            </w:pPr>
            <w:r>
              <w:rPr>
                <w:rFonts w:ascii="Times New Roman" w:hAnsi="Times New Roman" w:eastAsia="Times New Roman"/>
                <w:b w:val="0"/>
                <w:i w:val="0"/>
                <w:sz w:val="20"/>
              </w:rPr>
              <w:t>Publisher publication time, or RSS update time when publication time is absent; otherwise null.</w:t>
            </w:r>
          </w:p>
        </w:tc>
      </w:tr>
      <w:tr>
        <w:tc>
          <w:tcPr>
            <w:tcW w:type="dxa" w:w="2520"/>
            <w:vAlign w:val="top"/>
          </w:tcPr>
          <w:p>
            <w:pPr>
              <w:spacing w:after="0" w:line="276" w:lineRule="auto"/>
              <w:ind w:firstLine="0"/>
              <w:jc w:val="left"/>
            </w:pPr>
            <w:r>
              <w:rPr>
                <w:rFonts w:ascii="Times New Roman" w:hAnsi="Times New Roman" w:eastAsia="Times New Roman"/>
                <w:b w:val="0"/>
                <w:i w:val="0"/>
                <w:sz w:val="20"/>
              </w:rPr>
              <w:t>ingested_at</w:t>
            </w:r>
          </w:p>
        </w:tc>
        <w:tc>
          <w:tcPr>
            <w:tcW w:type="dxa" w:w="6509"/>
            <w:vAlign w:val="top"/>
          </w:tcPr>
          <w:p>
            <w:pPr>
              <w:spacing w:after="0" w:line="276" w:lineRule="auto"/>
              <w:ind w:firstLine="0"/>
              <w:jc w:val="left"/>
            </w:pPr>
            <w:r>
              <w:rPr>
                <w:rFonts w:ascii="Times New Roman" w:hAnsi="Times New Roman" w:eastAsia="Times New Roman"/>
                <w:b w:val="0"/>
                <w:i w:val="0"/>
                <w:sz w:val="20"/>
              </w:rPr>
              <w:t>UTC time assigned by the producer before Kafka publication.</w:t>
            </w:r>
          </w:p>
        </w:tc>
      </w:tr>
      <w:tr>
        <w:tc>
          <w:tcPr>
            <w:tcW w:type="dxa" w:w="2520"/>
            <w:vAlign w:val="top"/>
          </w:tcPr>
          <w:p>
            <w:pPr>
              <w:spacing w:after="0" w:line="276" w:lineRule="auto"/>
              <w:ind w:firstLine="0"/>
              <w:jc w:val="left"/>
            </w:pPr>
            <w:r>
              <w:rPr>
                <w:rFonts w:ascii="Times New Roman" w:hAnsi="Times New Roman" w:eastAsia="Times New Roman"/>
                <w:b w:val="0"/>
                <w:i w:val="0"/>
                <w:sz w:val="20"/>
              </w:rPr>
              <w:t>sentiment / score</w:t>
            </w:r>
          </w:p>
        </w:tc>
        <w:tc>
          <w:tcPr>
            <w:tcW w:type="dxa" w:w="6509"/>
            <w:vAlign w:val="top"/>
          </w:tcPr>
          <w:p>
            <w:pPr>
              <w:spacing w:after="0" w:line="276" w:lineRule="auto"/>
              <w:ind w:firstLine="0"/>
              <w:jc w:val="left"/>
            </w:pPr>
            <w:r>
              <w:rPr>
                <w:rFonts w:ascii="Times New Roman" w:hAnsi="Times New Roman" w:eastAsia="Times New Roman"/>
                <w:b w:val="0"/>
                <w:i w:val="0"/>
                <w:sz w:val="20"/>
              </w:rPr>
              <w:t xml:space="preserve">Positive / Neutral / Negative label in </w:t>
            </w:r>
            <w:r>
              <w:rPr>
                <w:rFonts w:ascii="Times New Roman" w:hAnsi="Times New Roman" w:eastAsia="Times New Roman"/>
                <w:b w:val="0"/>
                <w:i/>
                <w:sz w:val="20"/>
              </w:rPr>
              <w:t>sentiment</w:t>
            </w:r>
            <w:r>
              <w:rPr>
                <w:rFonts w:ascii="Times New Roman" w:hAnsi="Times New Roman" w:eastAsia="Times New Roman"/>
                <w:b w:val="0"/>
                <w:i w:val="0"/>
                <w:sz w:val="20"/>
              </w:rPr>
              <w:t xml:space="preserve"> and numeric score in </w:t>
            </w:r>
            <w:r>
              <w:rPr>
                <w:rFonts w:ascii="Times New Roman" w:hAnsi="Times New Roman" w:eastAsia="Times New Roman"/>
                <w:b w:val="0"/>
                <w:i/>
                <w:sz w:val="20"/>
              </w:rPr>
              <w:t>sentiment_score</w:t>
            </w:r>
            <w:r>
              <w:rPr>
                <w:rFonts w:ascii="Times New Roman" w:hAnsi="Times New Roman" w:eastAsia="Times New Roman"/>
                <w:b w:val="0"/>
                <w:i w:val="0"/>
                <w:sz w:val="20"/>
              </w:rPr>
              <w:t>, in [−100, +100]; the API returns an integer and the stored field is numeric.</w:t>
            </w:r>
          </w:p>
        </w:tc>
      </w:tr>
      <w:tr>
        <w:tc>
          <w:tcPr>
            <w:tcW w:type="dxa" w:w="2520"/>
            <w:vAlign w:val="top"/>
          </w:tcPr>
          <w:p>
            <w:pPr>
              <w:spacing w:after="0" w:line="276" w:lineRule="auto"/>
              <w:ind w:firstLine="0"/>
              <w:jc w:val="left"/>
            </w:pPr>
            <w:r>
              <w:rPr>
                <w:rFonts w:ascii="Times New Roman" w:hAnsi="Times New Roman" w:eastAsia="Times New Roman"/>
                <w:b w:val="0"/>
                <w:i w:val="0"/>
                <w:sz w:val="20"/>
              </w:rPr>
              <w:t>model / language</w:t>
            </w:r>
          </w:p>
        </w:tc>
        <w:tc>
          <w:tcPr>
            <w:tcW w:type="dxa" w:w="6509"/>
            <w:vAlign w:val="top"/>
          </w:tcPr>
          <w:p>
            <w:pPr>
              <w:spacing w:after="0" w:line="276" w:lineRule="auto"/>
              <w:ind w:firstLine="0"/>
              <w:jc w:val="left"/>
            </w:pPr>
            <w:r>
              <w:rPr>
                <w:rFonts w:ascii="Times New Roman" w:hAnsi="Times New Roman" w:eastAsia="Times New Roman"/>
                <w:b w:val="0"/>
                <w:i w:val="0"/>
                <w:sz w:val="20"/>
              </w:rPr>
              <w:t>Provider model identifier (</w:t>
            </w:r>
            <w:r>
              <w:rPr>
                <w:rFonts w:ascii="Times New Roman" w:hAnsi="Times New Roman" w:eastAsia="Times New Roman"/>
                <w:b w:val="0"/>
                <w:i/>
                <w:sz w:val="20"/>
              </w:rPr>
              <w:t>sentiment_model</w:t>
            </w:r>
            <w:r>
              <w:rPr>
                <w:rFonts w:ascii="Times New Roman" w:hAnsi="Times New Roman" w:eastAsia="Times New Roman"/>
                <w:b w:val="0"/>
                <w:i w:val="0"/>
                <w:sz w:val="20"/>
              </w:rPr>
              <w:t>) and script-based language label (</w:t>
            </w:r>
            <w:r>
              <w:rPr>
                <w:rFonts w:ascii="Times New Roman" w:hAnsi="Times New Roman" w:eastAsia="Times New Roman"/>
                <w:b w:val="0"/>
                <w:i/>
                <w:sz w:val="20"/>
              </w:rPr>
              <w:t>sentiment_language</w:t>
            </w:r>
            <w:r>
              <w:rPr>
                <w:rFonts w:ascii="Times New Roman" w:hAnsi="Times New Roman" w:eastAsia="Times New Roman"/>
                <w:b w:val="0"/>
                <w:i w:val="0"/>
                <w:sz w:val="20"/>
              </w:rPr>
              <w:t>).</w:t>
            </w:r>
          </w:p>
        </w:tc>
      </w:tr>
      <w:tr>
        <w:tc>
          <w:tcPr>
            <w:tcW w:type="dxa" w:w="2520"/>
            <w:vAlign w:val="top"/>
          </w:tcPr>
          <w:p>
            <w:pPr>
              <w:spacing w:after="0" w:line="276" w:lineRule="auto"/>
              <w:ind w:firstLine="0"/>
              <w:jc w:val="left"/>
            </w:pPr>
            <w:r>
              <w:rPr>
                <w:rFonts w:ascii="Times New Roman" w:hAnsi="Times New Roman" w:eastAsia="Times New Roman"/>
                <w:b w:val="0"/>
                <w:i w:val="0"/>
                <w:sz w:val="20"/>
              </w:rPr>
              <w:t>confidence</w:t>
            </w:r>
          </w:p>
        </w:tc>
        <w:tc>
          <w:tcPr>
            <w:tcW w:type="dxa" w:w="6509"/>
            <w:vAlign w:val="top"/>
          </w:tcPr>
          <w:p>
            <w:pPr>
              <w:spacing w:after="0" w:line="276" w:lineRule="auto"/>
              <w:ind w:firstLine="0"/>
              <w:jc w:val="left"/>
            </w:pPr>
            <w:r>
              <w:rPr>
                <w:rFonts w:ascii="Times New Roman" w:hAnsi="Times New Roman" w:eastAsia="Times New Roman"/>
                <w:b w:val="0"/>
                <w:i/>
                <w:sz w:val="20"/>
              </w:rPr>
              <w:t>sentiment_confidence</w:t>
            </w:r>
            <w:r>
              <w:rPr>
                <w:rFonts w:ascii="Times New Roman" w:hAnsi="Times New Roman" w:eastAsia="Times New Roman"/>
                <w:b w:val="0"/>
                <w:i w:val="0"/>
                <w:sz w:val="20"/>
              </w:rPr>
              <w:t xml:space="preserve"> is stored as null; the response contract does not provide calibrated confidence.</w:t>
            </w:r>
          </w:p>
        </w:tc>
      </w:tr>
    </w:tbl>
    <w:p>
      <w:pPr>
        <w:spacing w:after="20" w:line="240" w:lineRule="auto"/>
      </w:pPr>
    </w:p>
    <w:p>
      <w:pPr>
        <w:spacing w:line="360" w:lineRule="auto" w:after="120"/>
        <w:ind w:firstLine="403"/>
        <w:jc w:val="both"/>
      </w:pPr>
      <w:r>
        <w:rPr>
          <w:rFonts w:ascii="Times New Roman" w:hAnsi="Times New Roman" w:eastAsia="Times New Roman"/>
          <w:b w:val="0"/>
          <w:i w:val="0"/>
          <w:sz w:val="24"/>
        </w:rPr>
        <w:t>The label mapping is deterministic: scores greater than or equal to +20 are Positive, scores less than or equal to −20 are Negative, and scores from −19 through +19 are Neutral. Records without a usable title are marked Unscored with a null score. The score range is an application convention, not a calibrated probability scale.</w:t>
      </w:r>
    </w:p>
    <w:p>
      <w:pPr>
        <w:spacing w:line="360" w:lineRule="auto" w:after="120"/>
        <w:ind w:firstLine="403"/>
        <w:jc w:val="both"/>
      </w:pPr>
      <w:r>
        <w:rPr>
          <w:rFonts w:ascii="Times New Roman" w:hAnsi="Times New Roman" w:eastAsia="Times New Roman"/>
          <w:b w:val="0"/>
          <w:i w:val="0"/>
          <w:sz w:val="24"/>
        </w:rPr>
        <w:t>Language metadata is a simple script heuristic: a title containing Devanagari is labeled Nepali; other scripts are labeled English. Romanized Nepali may therefore receive an English metadata label even though the Nepali-region prompt accepts Romanized Nepali. The confidence field remains null; neither this schema nor the provider response implies a calibrated confidence estimate.</w:t>
      </w:r>
    </w:p>
    <w:p>
      <w:pPr>
        <w:pStyle w:val="Heading1"/>
        <w:keepNext/>
        <w:ind w:firstLine="0"/>
        <w:jc w:val="left"/>
      </w:pPr>
      <w:r>
        <w:rPr>
          <w:rFonts w:ascii="Times New Roman" w:hAnsi="Times New Roman" w:eastAsia="Times New Roman"/>
          <w:b/>
          <w:sz w:val="28"/>
        </w:rPr>
        <w:t>4. Storage Strategy and Component Selection</w:t>
      </w:r>
    </w:p>
    <w:p>
      <w:pPr>
        <w:pStyle w:val="Heading2"/>
        <w:keepNext/>
        <w:ind w:firstLine="0"/>
        <w:jc w:val="left"/>
      </w:pPr>
      <w:r>
        <w:rPr>
          <w:rFonts w:ascii="Times New Roman" w:hAnsi="Times New Roman" w:eastAsia="Times New Roman"/>
          <w:b/>
          <w:sz w:val="24"/>
        </w:rPr>
        <w:t>4.1 Event Buffer and Stream Processor</w:t>
      </w:r>
    </w:p>
    <w:p>
      <w:pPr>
        <w:pStyle w:val="Heading3"/>
        <w:keepNext/>
        <w:ind w:firstLine="0"/>
        <w:jc w:val="left"/>
      </w:pPr>
      <w:r>
        <w:rPr>
          <w:rFonts w:ascii="Times New Roman" w:hAnsi="Times New Roman" w:eastAsia="Times New Roman"/>
          <w:b/>
          <w:sz w:val="23"/>
        </w:rPr>
        <w:t>4.1.1 Apache Kafka</w:t>
      </w:r>
    </w:p>
    <w:p>
      <w:pPr>
        <w:spacing w:line="360" w:lineRule="auto" w:after="120"/>
        <w:ind w:firstLine="403"/>
        <w:jc w:val="both"/>
      </w:pPr>
      <w:r>
        <w:rPr>
          <w:rFonts w:ascii="Times New Roman" w:hAnsi="Times New Roman" w:eastAsia="Times New Roman"/>
          <w:b w:val="0"/>
          <w:i w:val="0"/>
          <w:sz w:val="24"/>
        </w:rPr>
        <w:t xml:space="preserve">Apache Kafka provides the producer–consumer boundary. The </w:t>
      </w:r>
      <w:r>
        <w:rPr>
          <w:rFonts w:ascii="Times New Roman" w:hAnsi="Times New Roman" w:eastAsia="Times New Roman"/>
          <w:b w:val="0"/>
          <w:i/>
          <w:sz w:val="24"/>
        </w:rPr>
        <w:t>news_topic</w:t>
      </w:r>
      <w:r>
        <w:rPr>
          <w:rFonts w:ascii="Times New Roman" w:hAnsi="Times New Roman" w:eastAsia="Times New Roman"/>
          <w:b w:val="0"/>
          <w:i w:val="0"/>
          <w:sz w:val="24"/>
        </w:rPr>
        <w:t xml:space="preserve"> topic is configured with six partitions and replication factor one. Kafka decouples sequential RSS polling from variable Spark and external-inference latency and supplies partitioned event delivery (Apache Software Foundation, n.d.-a). The Compose configuration does not mount a persistent Kafka data volume; Kafka is consequently treated as a short-term transport layer, not as the long-term archive.</w:t>
      </w:r>
    </w:p>
    <w:p>
      <w:pPr>
        <w:pStyle w:val="Heading3"/>
        <w:keepNext/>
        <w:ind w:firstLine="0"/>
        <w:jc w:val="left"/>
      </w:pPr>
      <w:r>
        <w:rPr>
          <w:rFonts w:ascii="Times New Roman" w:hAnsi="Times New Roman" w:eastAsia="Times New Roman"/>
          <w:b/>
          <w:sz w:val="23"/>
        </w:rPr>
        <w:t>4.1.2 Apache Spark Structured Streaming</w:t>
      </w:r>
    </w:p>
    <w:p>
      <w:pPr>
        <w:spacing w:line="360" w:lineRule="auto" w:after="120"/>
        <w:ind w:firstLine="403"/>
        <w:jc w:val="both"/>
      </w:pPr>
      <w:r>
        <w:rPr>
          <w:rFonts w:ascii="Times New Roman" w:hAnsi="Times New Roman" w:eastAsia="Times New Roman"/>
          <w:b w:val="0"/>
          <w:i w:val="0"/>
          <w:sz w:val="24"/>
        </w:rPr>
        <w:t xml:space="preserve">Apache Spark Structured Streaming consumes Kafka records as incremental micro-batches and provides checkpointed query progress (Apache Software Foundation, n.d.-b). The application sets </w:t>
      </w:r>
      <w:r>
        <w:rPr>
          <w:rFonts w:ascii="Times New Roman" w:hAnsi="Times New Roman" w:eastAsia="Times New Roman"/>
          <w:b w:val="0"/>
          <w:i/>
          <w:sz w:val="24"/>
        </w:rPr>
        <w:t>maxOffsetsPerTrigger</w:t>
      </w:r>
      <w:r>
        <w:rPr>
          <w:rFonts w:ascii="Times New Roman" w:hAnsi="Times New Roman" w:eastAsia="Times New Roman"/>
          <w:b w:val="0"/>
          <w:i w:val="0"/>
          <w:sz w:val="24"/>
        </w:rPr>
        <w:t xml:space="preserve"> to five and uses </w:t>
      </w:r>
      <w:r>
        <w:rPr>
          <w:rFonts w:ascii="Times New Roman" w:hAnsi="Times New Roman" w:eastAsia="Times New Roman"/>
          <w:b w:val="0"/>
          <w:i/>
          <w:sz w:val="24"/>
        </w:rPr>
        <w:t>foreachBatch</w:t>
      </w:r>
      <w:r>
        <w:rPr>
          <w:rFonts w:ascii="Times New Roman" w:hAnsi="Times New Roman" w:eastAsia="Times New Roman"/>
          <w:b w:val="0"/>
          <w:i w:val="0"/>
          <w:sz w:val="24"/>
        </w:rPr>
        <w:t xml:space="preserve"> to perform MongoDB checks, inference orchestration, and writes. The active checkpoint volume is </w:t>
      </w:r>
      <w:r>
        <w:rPr>
          <w:rFonts w:ascii="Times New Roman" w:hAnsi="Times New Roman" w:eastAsia="Times New Roman"/>
          <w:b w:val="0"/>
          <w:i/>
          <w:sz w:val="24"/>
        </w:rPr>
        <w:t>spark-checkpoint-v2</w:t>
      </w:r>
      <w:r>
        <w:rPr>
          <w:rFonts w:ascii="Times New Roman" w:hAnsi="Times New Roman" w:eastAsia="Times New Roman"/>
          <w:b w:val="0"/>
          <w:i w:val="0"/>
          <w:sz w:val="24"/>
        </w:rPr>
        <w:t xml:space="preserve">, mounted at </w:t>
      </w:r>
      <w:r>
        <w:rPr>
          <w:rFonts w:ascii="Times New Roman" w:hAnsi="Times New Roman" w:eastAsia="Times New Roman"/>
          <w:b w:val="0"/>
          <w:i/>
          <w:sz w:val="24"/>
        </w:rPr>
        <w:t>/tmp/spark-checkpoint</w:t>
      </w:r>
      <w:r>
        <w:rPr>
          <w:rFonts w:ascii="Times New Roman" w:hAnsi="Times New Roman" w:eastAsia="Times New Roman"/>
          <w:b w:val="0"/>
          <w:i w:val="0"/>
          <w:sz w:val="24"/>
        </w:rPr>
        <w:t>. A new checkpoint uses the configured earliest Kafka offsets; an existing checkpoint resumes its recorded progress.</w:t>
      </w:r>
    </w:p>
    <w:p>
      <w:pPr>
        <w:pStyle w:val="Heading2"/>
        <w:keepNext/>
        <w:ind w:firstLine="0"/>
        <w:jc w:val="left"/>
      </w:pPr>
      <w:r>
        <w:rPr>
          <w:rFonts w:ascii="Times New Roman" w:hAnsi="Times New Roman" w:eastAsia="Times New Roman"/>
          <w:b/>
          <w:sz w:val="24"/>
        </w:rPr>
        <w:t>4.2 Persistent Record Store</w:t>
      </w:r>
    </w:p>
    <w:p>
      <w:pPr>
        <w:spacing w:line="360" w:lineRule="auto" w:after="120"/>
        <w:ind w:firstLine="403"/>
        <w:jc w:val="both"/>
      </w:pPr>
      <w:r>
        <w:rPr>
          <w:rFonts w:ascii="Times New Roman" w:hAnsi="Times New Roman" w:eastAsia="Times New Roman"/>
          <w:b w:val="0"/>
          <w:i w:val="0"/>
          <w:sz w:val="24"/>
        </w:rPr>
        <w:t xml:space="preserve">MongoDB stores one document per accepted headline and its analysis fields in </w:t>
      </w:r>
      <w:r>
        <w:rPr>
          <w:rFonts w:ascii="Times New Roman" w:hAnsi="Times New Roman" w:eastAsia="Times New Roman"/>
          <w:b w:val="0"/>
          <w:i/>
          <w:sz w:val="24"/>
        </w:rPr>
        <w:t>newsdb.sentiments</w:t>
      </w:r>
      <w:r>
        <w:rPr>
          <w:rFonts w:ascii="Times New Roman" w:hAnsi="Times New Roman" w:eastAsia="Times New Roman"/>
          <w:b w:val="0"/>
          <w:i w:val="0"/>
          <w:sz w:val="24"/>
        </w:rPr>
        <w:t xml:space="preserve">. A document model accommodates source-specific metadata without requiring a fixed relational join at ingestion; MongoDB indexes support title, region, ingestion-time, and region/publication-time queries (MongoDB, n.d.). Compose mounts </w:t>
      </w:r>
      <w:r>
        <w:rPr>
          <w:rFonts w:ascii="Times New Roman" w:hAnsi="Times New Roman" w:eastAsia="Times New Roman"/>
          <w:b w:val="0"/>
          <w:i/>
          <w:sz w:val="24"/>
        </w:rPr>
        <w:t>mongo-data</w:t>
      </w:r>
      <w:r>
        <w:rPr>
          <w:rFonts w:ascii="Times New Roman" w:hAnsi="Times New Roman" w:eastAsia="Times New Roman"/>
          <w:b w:val="0"/>
          <w:i w:val="0"/>
          <w:sz w:val="24"/>
        </w:rPr>
        <w:t xml:space="preserve"> at </w:t>
      </w:r>
      <w:r>
        <w:rPr>
          <w:rFonts w:ascii="Times New Roman" w:hAnsi="Times New Roman" w:eastAsia="Times New Roman"/>
          <w:b w:val="0"/>
          <w:i/>
          <w:sz w:val="24"/>
        </w:rPr>
        <w:t>/data/db</w:t>
      </w:r>
      <w:r>
        <w:rPr>
          <w:rFonts w:ascii="Times New Roman" w:hAnsi="Times New Roman" w:eastAsia="Times New Roman"/>
          <w:b w:val="0"/>
          <w:i w:val="0"/>
          <w:sz w:val="24"/>
        </w:rPr>
        <w:t>, preserving MongoDB data across ordinary container restarts. The title index is non-unique: duplicate suppression is application logic and not a database uniqueness constraint.</w:t>
      </w:r>
    </w:p>
    <w:p>
      <w:pPr>
        <w:spacing w:line="360" w:lineRule="auto" w:after="120"/>
        <w:ind w:firstLine="403"/>
        <w:jc w:val="both"/>
      </w:pPr>
      <w:r>
        <w:rPr>
          <w:rFonts w:ascii="Times New Roman" w:hAnsi="Times New Roman" w:eastAsia="Times New Roman"/>
          <w:b w:val="0"/>
          <w:i w:val="0"/>
          <w:sz w:val="24"/>
        </w:rPr>
        <w:t xml:space="preserve">Environment files hold provider credentials and model settings. The repository supplies placeholder examples, while local </w:t>
      </w:r>
      <w:r>
        <w:rPr>
          <w:rFonts w:ascii="Times New Roman" w:hAnsi="Times New Roman" w:eastAsia="Times New Roman"/>
          <w:b w:val="0"/>
          <w:i/>
          <w:sz w:val="24"/>
        </w:rPr>
        <w:t>.env</w:t>
      </w:r>
      <w:r>
        <w:rPr>
          <w:rFonts w:ascii="Times New Roman" w:hAnsi="Times New Roman" w:eastAsia="Times New Roman"/>
          <w:b w:val="0"/>
          <w:i w:val="0"/>
          <w:sz w:val="24"/>
        </w:rPr>
        <w:t xml:space="preserve">, </w:t>
      </w:r>
      <w:r>
        <w:rPr>
          <w:rFonts w:ascii="Times New Roman" w:hAnsi="Times New Roman" w:eastAsia="Times New Roman"/>
          <w:b w:val="0"/>
          <w:i/>
          <w:sz w:val="24"/>
        </w:rPr>
        <w:t>.env.cloudflare</w:t>
      </w:r>
      <w:r>
        <w:rPr>
          <w:rFonts w:ascii="Times New Roman" w:hAnsi="Times New Roman" w:eastAsia="Times New Roman"/>
          <w:b w:val="0"/>
          <w:i w:val="0"/>
          <w:sz w:val="24"/>
        </w:rPr>
        <w:t xml:space="preserve">, and </w:t>
      </w:r>
      <w:r>
        <w:rPr>
          <w:rFonts w:ascii="Times New Roman" w:hAnsi="Times New Roman" w:eastAsia="Times New Roman"/>
          <w:b w:val="0"/>
          <w:i/>
          <w:sz w:val="24"/>
        </w:rPr>
        <w:t>.env.nepali</w:t>
      </w:r>
      <w:r>
        <w:rPr>
          <w:rFonts w:ascii="Times New Roman" w:hAnsi="Times New Roman" w:eastAsia="Times New Roman"/>
          <w:b w:val="0"/>
          <w:i w:val="0"/>
          <w:sz w:val="24"/>
        </w:rPr>
        <w:t xml:space="preserve"> files are excluded from version control. No credential value is reproduced in this report. The Compose configuration is intended for local development; it exposes services on host ports and does not configure Kafka or MongoDB authentication.</w:t>
      </w:r>
    </w:p>
    <w:p>
      <w:pPr>
        <w:pStyle w:val="Heading2"/>
        <w:keepNext/>
        <w:ind w:firstLine="0"/>
        <w:jc w:val="left"/>
      </w:pPr>
      <w:r>
        <w:rPr>
          <w:rFonts w:ascii="Times New Roman" w:hAnsi="Times New Roman" w:eastAsia="Times New Roman"/>
          <w:b/>
          <w:sz w:val="24"/>
        </w:rPr>
        <w:t>4.3 Component Rationale</w:t>
      </w:r>
    </w:p>
    <w:p>
      <w:pPr>
        <w:spacing w:line="360" w:lineRule="auto" w:after="120"/>
        <w:ind w:firstLine="403"/>
        <w:jc w:val="both"/>
      </w:pPr>
      <w:r>
        <w:rPr>
          <w:rFonts w:ascii="Times New Roman" w:hAnsi="Times New Roman" w:eastAsia="Times New Roman"/>
          <w:b/>
          <w:i w:val="0"/>
          <w:sz w:val="24"/>
        </w:rPr>
        <w:t>Python and feedparser</w:t>
      </w:r>
      <w:r>
        <w:rPr>
          <w:rFonts w:ascii="Times New Roman" w:hAnsi="Times New Roman" w:eastAsia="Times New Roman"/>
          <w:b w:val="0"/>
          <w:i w:val="0"/>
          <w:sz w:val="24"/>
        </w:rPr>
        <w:t xml:space="preserve"> provide feed polling, parsing, timestamp extraction, record normalization, and Kafka publication. </w:t>
      </w:r>
      <w:r>
        <w:rPr>
          <w:rFonts w:ascii="Times New Roman" w:hAnsi="Times New Roman" w:eastAsia="Times New Roman"/>
          <w:b/>
          <w:i w:val="0"/>
          <w:sz w:val="24"/>
        </w:rPr>
        <w:t>Kafka with ZooKeeper</w:t>
      </w:r>
      <w:r>
        <w:rPr>
          <w:rFonts w:ascii="Times New Roman" w:hAnsi="Times New Roman" w:eastAsia="Times New Roman"/>
          <w:b w:val="0"/>
          <w:i w:val="0"/>
          <w:sz w:val="24"/>
        </w:rPr>
        <w:t xml:space="preserve"> separates ingestion from downstream processing using a brokered event stream. </w:t>
      </w:r>
      <w:r>
        <w:rPr>
          <w:rFonts w:ascii="Times New Roman" w:hAnsi="Times New Roman" w:eastAsia="Times New Roman"/>
          <w:b/>
          <w:i w:val="0"/>
          <w:sz w:val="24"/>
        </w:rPr>
        <w:t>Spark Structured Streaming</w:t>
      </w:r>
      <w:r>
        <w:rPr>
          <w:rFonts w:ascii="Times New Roman" w:hAnsi="Times New Roman" w:eastAsia="Times New Roman"/>
          <w:b w:val="0"/>
          <w:i w:val="0"/>
          <w:sz w:val="24"/>
        </w:rPr>
        <w:t xml:space="preserve"> implements checkpointed micro-batch consumption and coordinates duplicate filtering, region grouping, model calls, and persistence.</w:t>
      </w:r>
    </w:p>
    <w:p>
      <w:pPr>
        <w:spacing w:line="360" w:lineRule="auto" w:after="120"/>
        <w:ind w:firstLine="403"/>
        <w:jc w:val="both"/>
      </w:pPr>
      <w:r>
        <w:rPr>
          <w:rFonts w:ascii="Times New Roman" w:hAnsi="Times New Roman" w:eastAsia="Times New Roman"/>
          <w:b/>
          <w:i w:val="0"/>
          <w:sz w:val="24"/>
        </w:rPr>
        <w:t>Cloudflare Workers AI</w:t>
      </w:r>
      <w:r>
        <w:rPr>
          <w:rFonts w:ascii="Times New Roman" w:hAnsi="Times New Roman" w:eastAsia="Times New Roman"/>
          <w:b w:val="0"/>
          <w:i w:val="0"/>
          <w:sz w:val="24"/>
        </w:rPr>
        <w:t xml:space="preserve"> is the primary inference provider; the configured default model identifier is </w:t>
      </w:r>
      <w:r>
        <w:rPr>
          <w:rFonts w:ascii="Times New Roman" w:hAnsi="Times New Roman" w:eastAsia="Times New Roman"/>
          <w:b w:val="0"/>
          <w:i/>
          <w:sz w:val="24"/>
        </w:rPr>
        <w:t>@cf/meta/llama-3.1-8b-instruct</w:t>
      </w:r>
      <w:r>
        <w:rPr>
          <w:rFonts w:ascii="Times New Roman" w:hAnsi="Times New Roman" w:eastAsia="Times New Roman"/>
          <w:b w:val="0"/>
          <w:i w:val="0"/>
          <w:sz w:val="24"/>
        </w:rPr>
        <w:t xml:space="preserve">. Its request schema constrains the response to JSON (Cloudflare, n.d.). </w:t>
      </w:r>
      <w:r>
        <w:rPr>
          <w:rFonts w:ascii="Times New Roman" w:hAnsi="Times New Roman" w:eastAsia="Times New Roman"/>
          <w:b/>
          <w:i w:val="0"/>
          <w:sz w:val="24"/>
        </w:rPr>
        <w:t>Gemini</w:t>
      </w:r>
      <w:r>
        <w:rPr>
          <w:rFonts w:ascii="Times New Roman" w:hAnsi="Times New Roman" w:eastAsia="Times New Roman"/>
          <w:b w:val="0"/>
          <w:i w:val="0"/>
          <w:sz w:val="24"/>
        </w:rPr>
        <w:t xml:space="preserve">, configured as </w:t>
      </w:r>
      <w:r>
        <w:rPr>
          <w:rFonts w:ascii="Times New Roman" w:hAnsi="Times New Roman" w:eastAsia="Times New Roman"/>
          <w:b w:val="0"/>
          <w:i/>
          <w:sz w:val="24"/>
        </w:rPr>
        <w:t>gemini-3.1-flash-lite</w:t>
      </w:r>
      <w:r>
        <w:rPr>
          <w:rFonts w:ascii="Times New Roman" w:hAnsi="Times New Roman" w:eastAsia="Times New Roman"/>
          <w:b w:val="0"/>
          <w:i w:val="0"/>
          <w:sz w:val="24"/>
        </w:rPr>
        <w:t>, is a fallback when the primary provider call or response validation fails; its structured-output schema specifies JSON fields (Google, n.d.). Provider fallback is sequential, not parallel key rotation.</w:t>
      </w:r>
    </w:p>
    <w:p>
      <w:pPr>
        <w:spacing w:line="360" w:lineRule="auto" w:after="120"/>
        <w:ind w:firstLine="403"/>
        <w:jc w:val="both"/>
      </w:pPr>
      <w:r>
        <w:rPr>
          <w:rFonts w:ascii="Times New Roman" w:hAnsi="Times New Roman" w:eastAsia="Times New Roman"/>
          <w:b/>
          <w:i w:val="0"/>
          <w:sz w:val="24"/>
        </w:rPr>
        <w:t>MongoDB</w:t>
      </w:r>
      <w:r>
        <w:rPr>
          <w:rFonts w:ascii="Times New Roman" w:hAnsi="Times New Roman" w:eastAsia="Times New Roman"/>
          <w:b w:val="0"/>
          <w:i w:val="0"/>
          <w:sz w:val="24"/>
        </w:rPr>
        <w:t xml:space="preserve"> supports both persistent record storage and title lookup; </w:t>
      </w:r>
      <w:r>
        <w:rPr>
          <w:rFonts w:ascii="Times New Roman" w:hAnsi="Times New Roman" w:eastAsia="Times New Roman"/>
          <w:b/>
          <w:i w:val="0"/>
          <w:sz w:val="24"/>
        </w:rPr>
        <w:t>Streamlit</w:t>
      </w:r>
      <w:r>
        <w:rPr>
          <w:rFonts w:ascii="Times New Roman" w:hAnsi="Times New Roman" w:eastAsia="Times New Roman"/>
          <w:b w:val="0"/>
          <w:i w:val="0"/>
          <w:sz w:val="24"/>
        </w:rPr>
        <w:t xml:space="preserve">, with Pandas and Plotly, supplies regional story views and analytics; and </w:t>
      </w:r>
      <w:r>
        <w:rPr>
          <w:rFonts w:ascii="Times New Roman" w:hAnsi="Times New Roman" w:eastAsia="Times New Roman"/>
          <w:b/>
          <w:i w:val="0"/>
          <w:sz w:val="24"/>
        </w:rPr>
        <w:t>Docker Compose</w:t>
      </w:r>
      <w:r>
        <w:rPr>
          <w:rFonts w:ascii="Times New Roman" w:hAnsi="Times New Roman" w:eastAsia="Times New Roman"/>
          <w:b w:val="0"/>
          <w:i w:val="0"/>
          <w:sz w:val="24"/>
        </w:rPr>
        <w:t xml:space="preserve"> defines the local service network, containers, and named data/checkpoint volumes. The dashboard reads MongoDB, not Kafka, and refreshes its fragment every ten seconds. These tools are complementary: Kafka is the event buffer, Spark the stream processor, MongoDB the queryable record store, and Streamlit the presentation layer.</w:t>
      </w:r>
    </w:p>
    <w:p>
      <w:pPr>
        <w:spacing w:line="360" w:lineRule="auto" w:after="120"/>
        <w:ind w:firstLine="403"/>
        <w:jc w:val="both"/>
      </w:pPr>
      <w:r>
        <w:rPr>
          <w:rFonts w:ascii="Times New Roman" w:hAnsi="Times New Roman" w:eastAsia="Times New Roman"/>
          <w:b w:val="0"/>
          <w:i w:val="0"/>
          <w:sz w:val="24"/>
        </w:rPr>
        <w:t xml:space="preserve">Implementation paths relevant to the described behavior include </w:t>
      </w:r>
      <w:r>
        <w:rPr>
          <w:rFonts w:ascii="Times New Roman" w:hAnsi="Times New Roman" w:eastAsia="Times New Roman"/>
          <w:b w:val="0"/>
          <w:i/>
          <w:sz w:val="24"/>
        </w:rPr>
        <w:t>producer/news_producer.py</w:t>
      </w:r>
      <w:r>
        <w:rPr>
          <w:rFonts w:ascii="Times New Roman" w:hAnsi="Times New Roman" w:eastAsia="Times New Roman"/>
          <w:b w:val="0"/>
          <w:i w:val="0"/>
          <w:sz w:val="24"/>
        </w:rPr>
        <w:t xml:space="preserve">, </w:t>
      </w:r>
      <w:r>
        <w:rPr>
          <w:rFonts w:ascii="Times New Roman" w:hAnsi="Times New Roman" w:eastAsia="Times New Roman"/>
          <w:b w:val="0"/>
          <w:i/>
          <w:sz w:val="24"/>
        </w:rPr>
        <w:t>spark/sentiment_pipeline.py</w:t>
      </w:r>
      <w:r>
        <w:rPr>
          <w:rFonts w:ascii="Times New Roman" w:hAnsi="Times New Roman" w:eastAsia="Times New Roman"/>
          <w:b w:val="0"/>
          <w:i w:val="0"/>
          <w:sz w:val="24"/>
        </w:rPr>
        <w:t xml:space="preserve">, </w:t>
      </w:r>
      <w:r>
        <w:rPr>
          <w:rFonts w:ascii="Times New Roman" w:hAnsi="Times New Roman" w:eastAsia="Times New Roman"/>
          <w:b w:val="0"/>
          <w:i/>
          <w:sz w:val="24"/>
        </w:rPr>
        <w:t>spark/sentiment_stream.py</w:t>
      </w:r>
      <w:r>
        <w:rPr>
          <w:rFonts w:ascii="Times New Roman" w:hAnsi="Times New Roman" w:eastAsia="Times New Roman"/>
          <w:b w:val="0"/>
          <w:i w:val="0"/>
          <w:sz w:val="24"/>
        </w:rPr>
        <w:t xml:space="preserve">, </w:t>
      </w:r>
      <w:r>
        <w:rPr>
          <w:rFonts w:ascii="Times New Roman" w:hAnsi="Times New Roman" w:eastAsia="Times New Roman"/>
          <w:b w:val="0"/>
          <w:i/>
          <w:sz w:val="24"/>
        </w:rPr>
        <w:t>spark/sentiment_models.py</w:t>
      </w:r>
      <w:r>
        <w:rPr>
          <w:rFonts w:ascii="Times New Roman" w:hAnsi="Times New Roman" w:eastAsia="Times New Roman"/>
          <w:b w:val="0"/>
          <w:i w:val="0"/>
          <w:sz w:val="24"/>
        </w:rPr>
        <w:t xml:space="preserve">, and </w:t>
      </w:r>
      <w:r>
        <w:rPr>
          <w:rFonts w:ascii="Times New Roman" w:hAnsi="Times New Roman" w:eastAsia="Times New Roman"/>
          <w:b w:val="0"/>
          <w:i/>
          <w:sz w:val="24"/>
        </w:rPr>
        <w:t>dashboard/app.py</w:t>
      </w:r>
      <w:r>
        <w:rPr>
          <w:rFonts w:ascii="Times New Roman" w:hAnsi="Times New Roman" w:eastAsia="Times New Roman"/>
          <w:b w:val="0"/>
          <w:i w:val="0"/>
          <w:sz w:val="24"/>
        </w:rPr>
        <w:t>.</w:t>
      </w:r>
    </w:p>
    <w:p>
      <w:pPr>
        <w:pStyle w:val="Heading1"/>
        <w:keepNext/>
        <w:ind w:firstLine="0"/>
        <w:jc w:val="left"/>
      </w:pPr>
      <w:r>
        <w:rPr>
          <w:rFonts w:ascii="Times New Roman" w:hAnsi="Times New Roman" w:eastAsia="Times New Roman"/>
          <w:b/>
          <w:sz w:val="28"/>
        </w:rPr>
        <w:t>5. System Architecture</w:t>
      </w:r>
    </w:p>
    <w:p>
      <w:pPr>
        <w:pStyle w:val="Heading2"/>
        <w:keepNext/>
        <w:ind w:firstLine="0"/>
        <w:jc w:val="left"/>
      </w:pPr>
      <w:r>
        <w:rPr>
          <w:rFonts w:ascii="Times New Roman" w:hAnsi="Times New Roman" w:eastAsia="Times New Roman"/>
          <w:b/>
          <w:sz w:val="24"/>
        </w:rPr>
        <w:t>5.1 Architecture Overview</w:t>
      </w:r>
    </w:p>
    <w:p>
      <w:pPr>
        <w:spacing w:line="360" w:lineRule="auto" w:after="120"/>
        <w:ind w:firstLine="403"/>
        <w:jc w:val="both"/>
      </w:pPr>
      <w:r>
        <w:rPr>
          <w:rFonts w:ascii="Times New Roman" w:hAnsi="Times New Roman" w:eastAsia="Times New Roman"/>
          <w:b w:val="0"/>
          <w:i w:val="0"/>
          <w:sz w:val="24"/>
        </w:rPr>
        <w:t>The architecture in Figure 1 distinguishes external publishers and inference services from the local Compose deployment. The Spark stage consults MongoDB and removes repeated current-batch titles before sending any model request. Inference responses return to Spark for validation and record association; scored records are then appended to MongoDB, from which the dashboard obtains its views.</w:t>
      </w:r>
    </w:p>
    <w:p>
      <w:pPr>
        <w:keepNext/>
        <w:spacing w:after="80"/>
        <w:ind w:firstLine="0"/>
        <w:jc w:val="center"/>
      </w:pPr>
      <w:r>
        <w:drawing>
          <wp:inline xmlns:a="http://schemas.openxmlformats.org/drawingml/2006/main" xmlns:pic="http://schemas.openxmlformats.org/drawingml/2006/picture">
            <wp:extent cx="5623560" cy="5876011"/>
            <wp:docPr id="1" name="Picture 1"/>
            <wp:cNvGraphicFramePr>
              <a:graphicFrameLocks noChangeAspect="1"/>
            </wp:cNvGraphicFramePr>
            <a:graphic>
              <a:graphicData uri="http://schemas.openxmlformats.org/drawingml/2006/picture">
                <pic:pic>
                  <pic:nvPicPr>
                    <pic:cNvPr id="0" name="Newsroom_Pulse_Architecture.png"/>
                    <pic:cNvPicPr/>
                  </pic:nvPicPr>
                  <pic:blipFill>
                    <a:blip r:embed="rId11"/>
                    <a:stretch>
                      <a:fillRect/>
                    </a:stretch>
                  </pic:blipFill>
                  <pic:spPr>
                    <a:xfrm>
                      <a:off x="0" y="0"/>
                      <a:ext cx="5623560" cy="5876011"/>
                    </a:xfrm>
                    <a:prstGeom prst="rect"/>
                  </pic:spPr>
                </pic:pic>
              </a:graphicData>
            </a:graphic>
          </wp:inline>
        </w:drawing>
      </w:r>
    </w:p>
    <w:p>
      <w:pPr>
        <w:spacing w:line="300" w:lineRule="auto" w:after="160"/>
        <w:ind w:firstLine="0"/>
        <w:jc w:val="center"/>
      </w:pPr>
      <w:r>
        <w:rPr>
          <w:rFonts w:ascii="Times New Roman" w:hAnsi="Times New Roman" w:eastAsia="Times New Roman"/>
          <w:b/>
          <w:i w:val="0"/>
          <w:sz w:val="20"/>
        </w:rPr>
        <w:t>Figure 1.</w:t>
      </w:r>
      <w:r>
        <w:rPr>
          <w:rFonts w:ascii="Times New Roman" w:hAnsi="Times New Roman" w:eastAsia="Times New Roman"/>
          <w:b w:val="0"/>
          <w:i w:val="0"/>
          <w:sz w:val="20"/>
        </w:rPr>
        <w:t xml:space="preserve"> Newsroom Pulse architecture. Solid connectors denote data flow; dashed connectors denote broker coordination or checkpoint state. Duplicate title checks against MongoDB and the current micro-batch precede external inference.</w:t>
      </w:r>
    </w:p>
    <w:p>
      <w:pPr>
        <w:pStyle w:val="Heading1"/>
        <w:keepNext/>
        <w:ind w:firstLine="0"/>
        <w:jc w:val="left"/>
      </w:pPr>
      <w:r>
        <w:rPr>
          <w:rFonts w:ascii="Times New Roman" w:hAnsi="Times New Roman" w:eastAsia="Times New Roman"/>
          <w:b/>
          <w:sz w:val="28"/>
        </w:rPr>
        <w:t>6. Processing and Inference Method</w:t>
      </w:r>
    </w:p>
    <w:p>
      <w:pPr>
        <w:spacing w:line="360" w:lineRule="auto" w:after="80"/>
        <w:ind w:left="461" w:hanging="461"/>
        <w:jc w:val="both"/>
      </w:pPr>
      <w:r>
        <w:rPr>
          <w:rFonts w:ascii="Times New Roman" w:hAnsi="Times New Roman" w:eastAsia="Times New Roman"/>
          <w:sz w:val="24"/>
        </w:rPr>
        <w:t xml:space="preserve">1. </w:t>
      </w:r>
      <w:r>
        <w:rPr>
          <w:rFonts w:ascii="Times New Roman" w:hAnsi="Times New Roman" w:eastAsia="Times New Roman"/>
          <w:b/>
          <w:i w:val="0"/>
          <w:sz w:val="24"/>
        </w:rPr>
        <w:t>Poll and normalize.</w:t>
      </w:r>
      <w:r>
        <w:rPr>
          <w:rFonts w:ascii="Times New Roman" w:hAnsi="Times New Roman" w:eastAsia="Times New Roman"/>
          <w:b w:val="0"/>
          <w:i w:val="0"/>
          <w:sz w:val="24"/>
        </w:rPr>
        <w:t xml:space="preserve"> The producer fetches each configured feed sequentially, recovers eligible entries from malformed responses, extracts title and link, assigns source and region, parses publication/update time, cleans the optional excerpt, and assigns UTC ingestion time.</w:t>
      </w:r>
    </w:p>
    <w:p>
      <w:pPr>
        <w:spacing w:line="360" w:lineRule="auto" w:after="80"/>
        <w:ind w:left="461" w:hanging="461"/>
        <w:jc w:val="both"/>
      </w:pPr>
      <w:r>
        <w:rPr>
          <w:rFonts w:ascii="Times New Roman" w:hAnsi="Times New Roman" w:eastAsia="Times New Roman"/>
          <w:sz w:val="24"/>
        </w:rPr>
        <w:t xml:space="preserve">2. </w:t>
      </w:r>
      <w:r>
        <w:rPr>
          <w:rFonts w:ascii="Times New Roman" w:hAnsi="Times New Roman" w:eastAsia="Times New Roman"/>
          <w:b/>
          <w:i w:val="0"/>
          <w:sz w:val="24"/>
        </w:rPr>
        <w:t>Suppress producer-local repeats.</w:t>
      </w:r>
      <w:r>
        <w:rPr>
          <w:rFonts w:ascii="Times New Roman" w:hAnsi="Times New Roman" w:eastAsia="Times New Roman"/>
          <w:b w:val="0"/>
          <w:i w:val="0"/>
          <w:sz w:val="24"/>
        </w:rPr>
        <w:t xml:space="preserve"> An in-memory set prevents an exact title already sent by that producer process from being published again. This state resets on producer restart and is not the persistent deduplication boundary.</w:t>
      </w:r>
    </w:p>
    <w:p>
      <w:pPr>
        <w:spacing w:line="360" w:lineRule="auto" w:after="80"/>
        <w:ind w:left="461" w:hanging="461"/>
        <w:jc w:val="both"/>
      </w:pPr>
      <w:r>
        <w:rPr>
          <w:rFonts w:ascii="Times New Roman" w:hAnsi="Times New Roman" w:eastAsia="Times New Roman"/>
          <w:sz w:val="24"/>
        </w:rPr>
        <w:t xml:space="preserve">3. </w:t>
      </w:r>
      <w:r>
        <w:rPr>
          <w:rFonts w:ascii="Times New Roman" w:hAnsi="Times New Roman" w:eastAsia="Times New Roman"/>
          <w:b/>
          <w:i w:val="0"/>
          <w:sz w:val="24"/>
        </w:rPr>
        <w:t>Publish.</w:t>
      </w:r>
      <w:r>
        <w:rPr>
          <w:rFonts w:ascii="Times New Roman" w:hAnsi="Times New Roman" w:eastAsia="Times New Roman"/>
          <w:b w:val="0"/>
          <w:i w:val="0"/>
          <w:sz w:val="24"/>
        </w:rPr>
        <w:t xml:space="preserve"> Accepted records are serialized as JSON and sent to Kafka topic </w:t>
      </w:r>
      <w:r>
        <w:rPr>
          <w:rFonts w:ascii="Times New Roman" w:hAnsi="Times New Roman" w:eastAsia="Times New Roman"/>
          <w:b w:val="0"/>
          <w:i/>
          <w:sz w:val="24"/>
        </w:rPr>
        <w:t>news_topic</w:t>
      </w:r>
      <w:r>
        <w:rPr>
          <w:rFonts w:ascii="Times New Roman" w:hAnsi="Times New Roman" w:eastAsia="Times New Roman"/>
          <w:b w:val="0"/>
          <w:i w:val="0"/>
          <w:sz w:val="24"/>
        </w:rPr>
        <w:t>. Six partitions are configured with replication factor one.</w:t>
      </w:r>
    </w:p>
    <w:p>
      <w:pPr>
        <w:spacing w:line="360" w:lineRule="auto" w:after="80"/>
        <w:ind w:left="461" w:hanging="461"/>
        <w:jc w:val="both"/>
      </w:pPr>
      <w:r>
        <w:rPr>
          <w:rFonts w:ascii="Times New Roman" w:hAnsi="Times New Roman" w:eastAsia="Times New Roman"/>
          <w:sz w:val="24"/>
        </w:rPr>
        <w:t xml:space="preserve">4. </w:t>
      </w:r>
      <w:r>
        <w:rPr>
          <w:rFonts w:ascii="Times New Roman" w:hAnsi="Times New Roman" w:eastAsia="Times New Roman"/>
          <w:b/>
          <w:i w:val="0"/>
          <w:sz w:val="24"/>
        </w:rPr>
        <w:t>Consume bounded offsets.</w:t>
      </w:r>
      <w:r>
        <w:rPr>
          <w:rFonts w:ascii="Times New Roman" w:hAnsi="Times New Roman" w:eastAsia="Times New Roman"/>
          <w:b w:val="0"/>
          <w:i w:val="0"/>
          <w:sz w:val="24"/>
        </w:rPr>
        <w:t xml:space="preserve"> Spark reads Kafka incrementally with at most five offsets per trigger, parses the event schema, and records query progress in the checkpoint.</w:t>
      </w:r>
    </w:p>
    <w:p>
      <w:pPr>
        <w:spacing w:line="360" w:lineRule="auto" w:after="80"/>
        <w:ind w:left="461" w:hanging="461"/>
        <w:jc w:val="both"/>
      </w:pPr>
      <w:r>
        <w:rPr>
          <w:rFonts w:ascii="Times New Roman" w:hAnsi="Times New Roman" w:eastAsia="Times New Roman"/>
          <w:sz w:val="24"/>
        </w:rPr>
        <w:t xml:space="preserve">5. </w:t>
      </w:r>
      <w:r>
        <w:rPr>
          <w:rFonts w:ascii="Times New Roman" w:hAnsi="Times New Roman" w:eastAsia="Times New Roman"/>
          <w:b/>
          <w:i w:val="0"/>
          <w:sz w:val="24"/>
        </w:rPr>
        <w:t>Deduplicate before inference.</w:t>
      </w:r>
      <w:r>
        <w:rPr>
          <w:rFonts w:ascii="Times New Roman" w:hAnsi="Times New Roman" w:eastAsia="Times New Roman"/>
          <w:b w:val="0"/>
          <w:i w:val="0"/>
          <w:sz w:val="24"/>
        </w:rPr>
        <w:t xml:space="preserve"> For each micro-batch, Spark collects the records to its driver, queries MongoDB for existing exact titles, and removes those matches and repeated titles within the batch. Only non-empty new titles proceed to scoring.</w:t>
      </w:r>
    </w:p>
    <w:p>
      <w:pPr>
        <w:spacing w:line="360" w:lineRule="auto" w:after="80"/>
        <w:ind w:left="461" w:hanging="461"/>
        <w:jc w:val="both"/>
      </w:pPr>
      <w:r>
        <w:rPr>
          <w:rFonts w:ascii="Times New Roman" w:hAnsi="Times New Roman" w:eastAsia="Times New Roman"/>
          <w:sz w:val="24"/>
        </w:rPr>
        <w:t xml:space="preserve">6. </w:t>
      </w:r>
      <w:r>
        <w:rPr>
          <w:rFonts w:ascii="Times New Roman" w:hAnsi="Times New Roman" w:eastAsia="Times New Roman"/>
          <w:b/>
          <w:i w:val="0"/>
          <w:sz w:val="24"/>
        </w:rPr>
        <w:t>Form regional requests.</w:t>
      </w:r>
      <w:r>
        <w:rPr>
          <w:rFonts w:ascii="Times New Roman" w:hAnsi="Times New Roman" w:eastAsia="Times New Roman"/>
          <w:b w:val="0"/>
          <w:i w:val="0"/>
          <w:sz w:val="24"/>
        </w:rPr>
        <w:t xml:space="preserve"> Remaining records are grouped by region and divided into batches of at most five. The provider receives each title with a stable numeric identifier; the RSS excerpt and other article text are not sent.</w:t>
      </w:r>
    </w:p>
    <w:p>
      <w:pPr>
        <w:spacing w:line="360" w:lineRule="auto" w:after="80"/>
        <w:ind w:left="461" w:hanging="461"/>
        <w:jc w:val="both"/>
      </w:pPr>
      <w:r>
        <w:rPr>
          <w:rFonts w:ascii="Times New Roman" w:hAnsi="Times New Roman" w:eastAsia="Times New Roman"/>
          <w:sz w:val="24"/>
        </w:rPr>
        <w:t xml:space="preserve">7. </w:t>
      </w:r>
      <w:r>
        <w:rPr>
          <w:rFonts w:ascii="Times New Roman" w:hAnsi="Times New Roman" w:eastAsia="Times New Roman"/>
          <w:b/>
          <w:i w:val="0"/>
          <w:sz w:val="24"/>
        </w:rPr>
        <w:t>Validate and map results.</w:t>
      </w:r>
      <w:r>
        <w:rPr>
          <w:rFonts w:ascii="Times New Roman" w:hAnsi="Times New Roman" w:eastAsia="Times New Roman"/>
          <w:b w:val="0"/>
          <w:i w:val="0"/>
          <w:sz w:val="24"/>
        </w:rPr>
        <w:t xml:space="preserve"> Cloudflare Workers AI is tried first. If the call or response validation fails, Gemini is attempted with the same region-specific credentials and prompt policy. The response must contain exactly one integer score per identifier, no duplicate or missing identifiers, and scores within [−100, +100]. Valid results are restored to the input order.</w:t>
      </w:r>
    </w:p>
    <w:p>
      <w:pPr>
        <w:spacing w:line="360" w:lineRule="auto" w:after="80"/>
        <w:ind w:left="461" w:hanging="461"/>
        <w:jc w:val="both"/>
      </w:pPr>
      <w:r>
        <w:rPr>
          <w:rFonts w:ascii="Times New Roman" w:hAnsi="Times New Roman" w:eastAsia="Times New Roman"/>
          <w:sz w:val="24"/>
        </w:rPr>
        <w:t xml:space="preserve">8. </w:t>
      </w:r>
      <w:r>
        <w:rPr>
          <w:rFonts w:ascii="Times New Roman" w:hAnsi="Times New Roman" w:eastAsia="Times New Roman"/>
          <w:b/>
          <w:i w:val="0"/>
          <w:sz w:val="24"/>
        </w:rPr>
        <w:t>Persist and present.</w:t>
      </w:r>
      <w:r>
        <w:rPr>
          <w:rFonts w:ascii="Times New Roman" w:hAnsi="Times New Roman" w:eastAsia="Times New Roman"/>
          <w:b w:val="0"/>
          <w:i w:val="0"/>
          <w:sz w:val="24"/>
        </w:rPr>
        <w:t xml:space="preserve"> Spark attaches the label, score, model identifier, and language field and appends the enriched documents to MongoDB. Streamlit retrieves recent stories, source links, and region-specific summaries from MongoDB.</w:t>
      </w:r>
    </w:p>
    <w:p>
      <w:pPr>
        <w:spacing w:line="360" w:lineRule="auto" w:after="120"/>
        <w:ind w:firstLine="403"/>
        <w:jc w:val="both"/>
      </w:pPr>
      <w:r>
        <w:rPr>
          <w:rFonts w:ascii="Times New Roman" w:hAnsi="Times New Roman" w:eastAsia="Times New Roman"/>
          <w:b w:val="0"/>
          <w:i w:val="0"/>
          <w:sz w:val="24"/>
        </w:rPr>
        <w:t>The international and Nepali prompts are separate. Both are written in English and require structured JSON. The Nepali prompt explicitly accepts Devanagari, Romanized Nepali, English, and mixed-language titles; it asks the model to interpret headline meaning rather than infer unstated article context. The application uses temperature zero for the primary request and a default six-second minimum interval between provider request starts. Pacing is process-local and does not guarantee compliance with an account-wide provider quota. Provider requests have a 30-second timeout.</w:t>
      </w:r>
    </w:p>
    <w:p>
      <w:pPr>
        <w:pStyle w:val="Heading1"/>
        <w:keepNext/>
        <w:ind w:firstLine="0"/>
        <w:jc w:val="left"/>
      </w:pPr>
      <w:r>
        <w:rPr>
          <w:rFonts w:ascii="Times New Roman" w:hAnsi="Times New Roman" w:eastAsia="Times New Roman"/>
          <w:b/>
          <w:sz w:val="28"/>
        </w:rPr>
        <w:t>7. Demonstration Protocol and Evaluation Plan</w:t>
      </w:r>
    </w:p>
    <w:p>
      <w:pPr>
        <w:pStyle w:val="Heading2"/>
        <w:keepNext/>
        <w:ind w:firstLine="0"/>
        <w:jc w:val="left"/>
      </w:pPr>
      <w:r>
        <w:rPr>
          <w:rFonts w:ascii="Times New Roman" w:hAnsi="Times New Roman" w:eastAsia="Times New Roman"/>
          <w:b/>
          <w:sz w:val="24"/>
        </w:rPr>
        <w:t>7.1 Demonstration Protocol</w:t>
      </w:r>
    </w:p>
    <w:p>
      <w:pPr>
        <w:spacing w:line="360" w:lineRule="auto" w:after="120"/>
        <w:ind w:firstLine="403"/>
        <w:jc w:val="both"/>
      </w:pPr>
      <w:r>
        <w:rPr>
          <w:rFonts w:ascii="Times New Roman" w:hAnsi="Times New Roman" w:eastAsia="Times New Roman"/>
          <w:b w:val="0"/>
          <w:i w:val="0"/>
          <w:sz w:val="24"/>
        </w:rPr>
        <w:t xml:space="preserve">A demonstration can present the end-to-end path by preparing local environment files from their checked-in examples, starting the Compose services with </w:t>
      </w:r>
      <w:r>
        <w:rPr>
          <w:rFonts w:ascii="Times New Roman" w:hAnsi="Times New Roman" w:eastAsia="Times New Roman"/>
          <w:b w:val="0"/>
          <w:i/>
          <w:sz w:val="24"/>
        </w:rPr>
        <w:t>docker compose up --build -d</w:t>
      </w:r>
      <w:r>
        <w:rPr>
          <w:rFonts w:ascii="Times New Roman" w:hAnsi="Times New Roman" w:eastAsia="Times New Roman"/>
          <w:b w:val="0"/>
          <w:i w:val="0"/>
          <w:sz w:val="24"/>
        </w:rPr>
        <w:t xml:space="preserve">, and inspecting producer and Spark submission logs. The dashboard is available at </w:t>
      </w:r>
      <w:r>
        <w:rPr>
          <w:rFonts w:ascii="Times New Roman" w:hAnsi="Times New Roman" w:eastAsia="Times New Roman"/>
          <w:b w:val="0"/>
          <w:i/>
          <w:sz w:val="24"/>
        </w:rPr>
        <w:t>http://localhost:8501</w:t>
      </w:r>
      <w:r>
        <w:rPr>
          <w:rFonts w:ascii="Times New Roman" w:hAnsi="Times New Roman" w:eastAsia="Times New Roman"/>
          <w:b w:val="0"/>
          <w:i w:val="0"/>
          <w:sz w:val="24"/>
        </w:rPr>
        <w:t xml:space="preserve">. Its International and Nepali views expose source attribution, article links, publication time in Nepal time, headline score, and label. The Analytics view presents source counts, sentiment mix, and ingestion summaries. Container shutdown with </w:t>
      </w:r>
      <w:r>
        <w:rPr>
          <w:rFonts w:ascii="Times New Roman" w:hAnsi="Times New Roman" w:eastAsia="Times New Roman"/>
          <w:b w:val="0"/>
          <w:i/>
          <w:sz w:val="24"/>
        </w:rPr>
        <w:t>docker compose down</w:t>
      </w:r>
      <w:r>
        <w:rPr>
          <w:rFonts w:ascii="Times New Roman" w:hAnsi="Times New Roman" w:eastAsia="Times New Roman"/>
          <w:b w:val="0"/>
          <w:i w:val="0"/>
          <w:sz w:val="24"/>
        </w:rPr>
        <w:t xml:space="preserve"> preserves MongoDB and Spark checkpoint volumes; removing volumes deletes that persisted state.</w:t>
      </w:r>
    </w:p>
    <w:p>
      <w:pPr>
        <w:pStyle w:val="Heading2"/>
        <w:keepNext/>
        <w:ind w:firstLine="0"/>
        <w:jc w:val="left"/>
      </w:pPr>
      <w:r>
        <w:rPr>
          <w:rFonts w:ascii="Times New Roman" w:hAnsi="Times New Roman" w:eastAsia="Times New Roman"/>
          <w:b/>
          <w:sz w:val="24"/>
        </w:rPr>
        <w:t>7.2 Evaluation Measures</w:t>
      </w:r>
    </w:p>
    <w:p>
      <w:pPr>
        <w:spacing w:line="360" w:lineRule="auto" w:after="120"/>
        <w:ind w:firstLine="403"/>
        <w:jc w:val="both"/>
      </w:pPr>
      <w:r>
        <w:rPr>
          <w:rFonts w:ascii="Times New Roman" w:hAnsi="Times New Roman" w:eastAsia="Times New Roman"/>
          <w:b w:val="0"/>
          <w:i w:val="0"/>
          <w:sz w:val="24"/>
        </w:rPr>
        <w:t>The code configuration defines operational bounds but does not provide a ground-truth sentiment corpus or end-to-end latency telemetry. A defensible evaluation should report the following measures rather than infer them from request intervals or dashboard refresh frequency.</w:t>
      </w:r>
    </w:p>
    <w:p>
      <w:pPr>
        <w:spacing w:line="360" w:lineRule="auto" w:after="80"/>
        <w:ind w:left="461" w:hanging="461"/>
        <w:jc w:val="both"/>
      </w:pPr>
      <w:r>
        <w:rPr>
          <w:rFonts w:ascii="Times New Roman" w:hAnsi="Times New Roman" w:eastAsia="Times New Roman"/>
          <w:sz w:val="24"/>
        </w:rPr>
        <w:t xml:space="preserve">1. </w:t>
      </w:r>
      <w:r>
        <w:rPr>
          <w:rFonts w:ascii="Times New Roman" w:hAnsi="Times New Roman" w:eastAsia="Times New Roman"/>
          <w:b/>
          <w:i w:val="0"/>
          <w:sz w:val="24"/>
        </w:rPr>
        <w:t>Feed coverage:</w:t>
      </w:r>
      <w:r>
        <w:rPr>
          <w:rFonts w:ascii="Times New Roman" w:hAnsi="Times New Roman" w:eastAsia="Times New Roman"/>
          <w:b w:val="0"/>
          <w:i w:val="0"/>
          <w:sz w:val="24"/>
        </w:rPr>
        <w:t xml:space="preserve"> successful HTTP fetches, parseable entries, recoveries, empty responses, and failures by endpoint and polling cycle.</w:t>
      </w:r>
    </w:p>
    <w:p>
      <w:pPr>
        <w:spacing w:line="360" w:lineRule="auto" w:after="80"/>
        <w:ind w:left="461" w:hanging="461"/>
        <w:jc w:val="both"/>
      </w:pPr>
      <w:r>
        <w:rPr>
          <w:rFonts w:ascii="Times New Roman" w:hAnsi="Times New Roman" w:eastAsia="Times New Roman"/>
          <w:sz w:val="24"/>
        </w:rPr>
        <w:t xml:space="preserve">2. </w:t>
      </w:r>
      <w:r>
        <w:rPr>
          <w:rFonts w:ascii="Times New Roman" w:hAnsi="Times New Roman" w:eastAsia="Times New Roman"/>
          <w:b/>
          <w:i w:val="0"/>
          <w:sz w:val="24"/>
        </w:rPr>
        <w:t>Freshness:</w:t>
      </w:r>
      <w:r>
        <w:rPr>
          <w:rFonts w:ascii="Times New Roman" w:hAnsi="Times New Roman" w:eastAsia="Times New Roman"/>
          <w:b w:val="0"/>
          <w:i w:val="0"/>
          <w:sz w:val="24"/>
        </w:rPr>
        <w:t xml:space="preserve"> for each displayed story, compute latency from ingestion to dashboard visibility; report median and 95th-percentile latency, with publication-to-ingestion age reported separately.</w:t>
      </w:r>
    </w:p>
    <w:p>
      <w:pPr>
        <w:spacing w:line="360" w:lineRule="auto" w:after="80"/>
        <w:ind w:left="461" w:hanging="461"/>
        <w:jc w:val="both"/>
      </w:pPr>
      <w:r>
        <w:rPr>
          <w:rFonts w:ascii="Times New Roman" w:hAnsi="Times New Roman" w:eastAsia="Times New Roman"/>
          <w:sz w:val="24"/>
        </w:rPr>
        <w:t xml:space="preserve">3. </w:t>
      </w:r>
      <w:r>
        <w:rPr>
          <w:rFonts w:ascii="Times New Roman" w:hAnsi="Times New Roman" w:eastAsia="Times New Roman"/>
          <w:b/>
          <w:i w:val="0"/>
          <w:sz w:val="24"/>
        </w:rPr>
        <w:t>Duplicate/API efficiency:</w:t>
      </w:r>
      <w:r>
        <w:rPr>
          <w:rFonts w:ascii="Times New Roman" w:hAnsi="Times New Roman" w:eastAsia="Times New Roman"/>
          <w:b w:val="0"/>
          <w:i w:val="0"/>
          <w:sz w:val="24"/>
        </w:rPr>
        <w:t xml:space="preserve"> count candidate titles, MongoDB matches, within-batch duplicates, and titles submitted to a provider; report duplicate suppression before inference.</w:t>
      </w:r>
    </w:p>
    <w:p>
      <w:pPr>
        <w:spacing w:line="360" w:lineRule="auto" w:after="80"/>
        <w:ind w:left="461" w:hanging="461"/>
        <w:jc w:val="both"/>
      </w:pPr>
      <w:r>
        <w:rPr>
          <w:rFonts w:ascii="Times New Roman" w:hAnsi="Times New Roman" w:eastAsia="Times New Roman"/>
          <w:sz w:val="24"/>
        </w:rPr>
        <w:t xml:space="preserve">4. </w:t>
      </w:r>
      <w:r>
        <w:rPr>
          <w:rFonts w:ascii="Times New Roman" w:hAnsi="Times New Roman" w:eastAsia="Times New Roman"/>
          <w:b/>
          <w:i w:val="0"/>
          <w:sz w:val="24"/>
        </w:rPr>
        <w:t>Sentiment quality:</w:t>
      </w:r>
      <w:r>
        <w:rPr>
          <w:rFonts w:ascii="Times New Roman" w:hAnsi="Times New Roman" w:eastAsia="Times New Roman"/>
          <w:b w:val="0"/>
          <w:i w:val="0"/>
          <w:sz w:val="24"/>
        </w:rPr>
        <w:t xml:space="preserve"> obtain human annotations stratified by region, script, publisher, and label. Report macro-F1 for labels, agreement statistics, and score error against an explicitly defined annotated scale. Review Romanized Nepali separately.</w:t>
      </w:r>
    </w:p>
    <w:p>
      <w:pPr>
        <w:spacing w:line="360" w:lineRule="auto" w:after="80"/>
        <w:ind w:left="461" w:hanging="461"/>
        <w:jc w:val="both"/>
      </w:pPr>
      <w:r>
        <w:rPr>
          <w:rFonts w:ascii="Times New Roman" w:hAnsi="Times New Roman" w:eastAsia="Times New Roman"/>
          <w:sz w:val="24"/>
        </w:rPr>
        <w:t xml:space="preserve">5. </w:t>
      </w:r>
      <w:r>
        <w:rPr>
          <w:rFonts w:ascii="Times New Roman" w:hAnsi="Times New Roman" w:eastAsia="Times New Roman"/>
          <w:b/>
          <w:i w:val="0"/>
          <w:sz w:val="24"/>
        </w:rPr>
        <w:t>Provider behavior:</w:t>
      </w:r>
      <w:r>
        <w:rPr>
          <w:rFonts w:ascii="Times New Roman" w:hAnsi="Times New Roman" w:eastAsia="Times New Roman"/>
          <w:b w:val="0"/>
          <w:i w:val="0"/>
          <w:sz w:val="24"/>
        </w:rPr>
        <w:t xml:space="preserve"> report primary-provider success, fallback frequency, invalid-response rate, request latency, rate-limit errors, and cost using provider telemetry.</w:t>
      </w:r>
    </w:p>
    <w:p>
      <w:pPr>
        <w:spacing w:line="360" w:lineRule="auto" w:after="80"/>
        <w:ind w:left="461" w:hanging="461"/>
        <w:jc w:val="both"/>
      </w:pPr>
      <w:r>
        <w:rPr>
          <w:rFonts w:ascii="Times New Roman" w:hAnsi="Times New Roman" w:eastAsia="Times New Roman"/>
          <w:sz w:val="24"/>
        </w:rPr>
        <w:t xml:space="preserve">6. </w:t>
      </w:r>
      <w:r>
        <w:rPr>
          <w:rFonts w:ascii="Times New Roman" w:hAnsi="Times New Roman" w:eastAsia="Times New Roman"/>
          <w:b/>
          <w:i w:val="0"/>
          <w:sz w:val="24"/>
        </w:rPr>
        <w:t>Capacity and resilience:</w:t>
      </w:r>
      <w:r>
        <w:rPr>
          <w:rFonts w:ascii="Times New Roman" w:hAnsi="Times New Roman" w:eastAsia="Times New Roman"/>
          <w:b w:val="0"/>
          <w:i w:val="0"/>
          <w:sz w:val="24"/>
        </w:rPr>
        <w:t xml:space="preserve"> measure consumer backlog and throughput while varying input rates; test worker, broker, model-provider, and MongoDB failures separately.</w:t>
      </w:r>
    </w:p>
    <w:p>
      <w:pPr>
        <w:pStyle w:val="Heading2"/>
        <w:keepNext/>
        <w:ind w:firstLine="0"/>
        <w:jc w:val="left"/>
      </w:pPr>
      <w:r>
        <w:rPr>
          <w:rFonts w:ascii="Times New Roman" w:hAnsi="Times New Roman" w:eastAsia="Times New Roman"/>
          <w:b/>
          <w:sz w:val="24"/>
        </w:rPr>
        <w:t>7.3 Annotation Protocol and Measurement</w:t>
      </w:r>
    </w:p>
    <w:p>
      <w:pPr>
        <w:spacing w:line="360" w:lineRule="auto" w:after="120"/>
        <w:ind w:firstLine="403"/>
        <w:jc w:val="both"/>
      </w:pPr>
      <w:r>
        <w:rPr>
          <w:rFonts w:ascii="Times New Roman" w:hAnsi="Times New Roman" w:eastAsia="Times New Roman"/>
          <w:b w:val="0"/>
          <w:i w:val="0"/>
          <w:sz w:val="24"/>
        </w:rPr>
        <w:t>Sentiment evaluation should use a human-annotated reference set sampled across region, publisher, script, and predicted label, rather than relying on an unstratified convenience sample. At least two annotators should independently label each selected title using a written rubric that defines the target as stated headline impact, distinguishes neutral or ambiguous reports from positive/negative events, and treats score magnitude as ordinal rather than probabilistic. Adjudication should resolve disagreements before the reference labels are used. Annotators should not see model outputs during initial labeling to reduce confirmation bias.</w:t>
      </w:r>
    </w:p>
    <w:p>
      <w:pPr>
        <w:spacing w:line="360" w:lineRule="auto" w:after="120"/>
        <w:ind w:firstLine="403"/>
        <w:jc w:val="both"/>
      </w:pPr>
      <w:r>
        <w:rPr>
          <w:rFonts w:ascii="Times New Roman" w:hAnsi="Times New Roman" w:eastAsia="Times New Roman"/>
          <w:b w:val="0"/>
          <w:i w:val="0"/>
          <w:sz w:val="24"/>
        </w:rPr>
        <w:t>For categorical results, report per-class precision and recall, macro-averaged F1, and inter-annotator agreement. For numeric scores, report an ordinal agreement statistic such as weighted Cohen’s κ together with mean absolute error against an explicitly defined human scale. Results should be disaggregated by region and script; aggregate scores can conceal systematic errors in Romanized Nepali or source-specific vocabulary. The reference set, prompt version, model identifier, and evaluation date should be retained so that later prompt or provider changes can be compared reproducibly.</w:t>
      </w:r>
    </w:p>
    <w:p>
      <w:pPr>
        <w:spacing w:line="360" w:lineRule="auto" w:after="120"/>
        <w:ind w:firstLine="403"/>
        <w:jc w:val="both"/>
      </w:pPr>
      <w:r>
        <w:rPr>
          <w:rFonts w:ascii="Times New Roman" w:hAnsi="Times New Roman" w:eastAsia="Times New Roman"/>
          <w:b w:val="0"/>
          <w:i w:val="0"/>
          <w:sz w:val="24"/>
        </w:rPr>
        <w:t xml:space="preserve">Processing freshness should be separated from source freshness. For record </w:t>
      </w:r>
      <w:r>
        <w:rPr>
          <w:rFonts w:ascii="Times New Roman" w:hAnsi="Times New Roman" w:eastAsia="Times New Roman"/>
          <w:b w:val="0"/>
          <w:i/>
          <w:sz w:val="24"/>
        </w:rPr>
        <w:t>i</w:t>
      </w:r>
      <w:r>
        <w:rPr>
          <w:rFonts w:ascii="Times New Roman" w:hAnsi="Times New Roman" w:eastAsia="Times New Roman"/>
          <w:b w:val="0"/>
          <w:i w:val="0"/>
          <w:sz w:val="24"/>
        </w:rPr>
        <w:t xml:space="preserve">, define pipeline latency as </w:t>
      </w:r>
      <w:r>
        <w:rPr>
          <w:rFonts w:ascii="Times New Roman" w:hAnsi="Times New Roman" w:eastAsia="Times New Roman"/>
          <w:b w:val="0"/>
          <w:i/>
          <w:sz w:val="24"/>
        </w:rPr>
        <w:t>L</w:t>
      </w:r>
      <w:r>
        <w:rPr>
          <w:rFonts w:ascii="Times New Roman" w:hAnsi="Times New Roman" w:eastAsia="Times New Roman"/>
          <w:b w:val="0"/>
          <w:i w:val="0"/>
          <w:sz w:val="24"/>
          <w:vertAlign w:val="subscript"/>
        </w:rPr>
        <w:t>i</w:t>
      </w:r>
      <w:r>
        <w:rPr>
          <w:rFonts w:ascii="Times New Roman" w:hAnsi="Times New Roman" w:eastAsia="Times New Roman"/>
          <w:b w:val="0"/>
          <w:i w:val="0"/>
          <w:sz w:val="24"/>
        </w:rPr>
        <w:t xml:space="preserve"> = </w:t>
      </w:r>
      <w:r>
        <w:rPr>
          <w:rFonts w:ascii="Times New Roman" w:hAnsi="Times New Roman" w:eastAsia="Times New Roman"/>
          <w:b w:val="0"/>
          <w:i/>
          <w:sz w:val="24"/>
        </w:rPr>
        <w:t>t</w:t>
      </w:r>
      <w:r>
        <w:rPr>
          <w:rFonts w:ascii="Times New Roman" w:hAnsi="Times New Roman" w:eastAsia="Times New Roman"/>
          <w:b w:val="0"/>
          <w:i w:val="0"/>
          <w:sz w:val="24"/>
          <w:vertAlign w:val="subscript"/>
        </w:rPr>
        <w:t>visible,i</w:t>
      </w:r>
      <w:r>
        <w:rPr>
          <w:rFonts w:ascii="Times New Roman" w:hAnsi="Times New Roman" w:eastAsia="Times New Roman"/>
          <w:b w:val="0"/>
          <w:i w:val="0"/>
          <w:sz w:val="24"/>
        </w:rPr>
        <w:t xml:space="preserve"> − </w:t>
      </w:r>
      <w:r>
        <w:rPr>
          <w:rFonts w:ascii="Times New Roman" w:hAnsi="Times New Roman" w:eastAsia="Times New Roman"/>
          <w:b w:val="0"/>
          <w:i/>
          <w:sz w:val="24"/>
        </w:rPr>
        <w:t>t</w:t>
      </w:r>
      <w:r>
        <w:rPr>
          <w:rFonts w:ascii="Times New Roman" w:hAnsi="Times New Roman" w:eastAsia="Times New Roman"/>
          <w:b w:val="0"/>
          <w:i w:val="0"/>
          <w:sz w:val="24"/>
          <w:vertAlign w:val="subscript"/>
        </w:rPr>
        <w:t>ingested,i</w:t>
      </w:r>
      <w:r>
        <w:rPr>
          <w:rFonts w:ascii="Times New Roman" w:hAnsi="Times New Roman" w:eastAsia="Times New Roman"/>
          <w:b w:val="0"/>
          <w:i w:val="0"/>
          <w:sz w:val="24"/>
        </w:rPr>
        <w:t>; report median and 95th-percentile latency, while publication-to-ingestion age is reported as a separate feed-delay measure. For throughput experiments, record Kafka backlog, offsets consumed per trigger, titles removed by each duplicate stage, provider request latency, fallback outcome, and CPU/memory use while applying a controlled event rate. Tests should isolate broker, model-provider, Spark-worker, and MongoDB failures instead of changing several components simultaneously.</w:t>
      </w:r>
    </w:p>
    <w:p>
      <w:pPr>
        <w:spacing w:line="360" w:lineRule="auto" w:after="120"/>
        <w:ind w:firstLine="403"/>
        <w:jc w:val="both"/>
      </w:pPr>
      <w:r>
        <w:rPr>
          <w:rFonts w:ascii="Times New Roman" w:hAnsi="Times New Roman" w:eastAsia="Times New Roman"/>
          <w:b w:val="0"/>
          <w:i w:val="0"/>
          <w:sz w:val="24"/>
        </w:rPr>
        <w:t>Several validity threats must be considered. The 19 configured feeds are not a probability sample of global or Nepali news, and publisher output frequency can dominate regional averages. Headline-only analysis may assign a polarity that a full article would qualify. Prompt language and the selected generative model can introduce language- and topic-dependent bias. These limits motivate stratified annotation and source-level reporting; they preclude interpreting an unqualified dashboard mean as a population-level measure of public opinion.</w:t>
      </w:r>
    </w:p>
    <w:p>
      <w:pPr>
        <w:pStyle w:val="Heading2"/>
        <w:keepNext/>
        <w:ind w:firstLine="0"/>
        <w:jc w:val="left"/>
      </w:pPr>
      <w:r>
        <w:rPr>
          <w:rFonts w:ascii="Times New Roman" w:hAnsi="Times New Roman" w:eastAsia="Times New Roman"/>
          <w:b/>
          <w:sz w:val="24"/>
        </w:rPr>
        <w:t>7.4 Architectural Limitations</w:t>
      </w:r>
    </w:p>
    <w:p>
      <w:pPr>
        <w:spacing w:line="360" w:lineRule="auto" w:after="120"/>
        <w:ind w:firstLine="403"/>
        <w:jc w:val="both"/>
      </w:pPr>
      <w:r>
        <w:rPr>
          <w:rFonts w:ascii="Times New Roman" w:hAnsi="Times New Roman" w:eastAsia="Times New Roman"/>
          <w:b w:val="0"/>
          <w:i w:val="0"/>
          <w:sz w:val="24"/>
        </w:rPr>
        <w:t>The active Spark query uses one configured worker and collects each micro-batch to the driver before MongoDB lookups and model calls. This centralizes provider pacing but limits horizontal inference scaling and can increase driver memory pressure. Kafka replication factor one does not provide broker-failure tolerance, and no durable Kafka volume is configured. The title index is not unique; exact-string matching can miss spelling or punctuation variants and does not establish global exactly-once processing. Sequential feed polling makes source-level request timeouts additive to the cycle duration. Provider pacing is process-local, while MongoDB and Kafka have no authentication in the local Compose configuration.</w:t>
      </w:r>
    </w:p>
    <w:p>
      <w:pPr>
        <w:spacing w:line="360" w:lineRule="auto" w:after="120"/>
        <w:ind w:firstLine="403"/>
        <w:jc w:val="both"/>
      </w:pPr>
      <w:r>
        <w:rPr>
          <w:rFonts w:ascii="Times New Roman" w:hAnsi="Times New Roman" w:eastAsia="Times New Roman"/>
          <w:b w:val="0"/>
          <w:i w:val="0"/>
          <w:sz w:val="24"/>
        </w:rPr>
        <w:t>Sentiment interpretation also has limits: a short headline may omit context, cross-lingual model behavior needs human evaluation, the language label is script-based, and the numeric score is not calibrated confidence. These constraints should accompany any interpretation of dashboard averages or polarity distributions.</w:t>
      </w:r>
    </w:p>
    <w:p>
      <w:pPr>
        <w:pStyle w:val="Heading1"/>
        <w:keepNext/>
        <w:ind w:firstLine="0"/>
        <w:jc w:val="left"/>
      </w:pPr>
      <w:r>
        <w:rPr>
          <w:rFonts w:ascii="Times New Roman" w:hAnsi="Times New Roman" w:eastAsia="Times New Roman"/>
          <w:b/>
          <w:sz w:val="28"/>
        </w:rPr>
        <w:t>8. Conclusion</w:t>
      </w:r>
    </w:p>
    <w:p>
      <w:pPr>
        <w:spacing w:line="360" w:lineRule="auto" w:after="120"/>
        <w:ind w:firstLine="403"/>
        <w:jc w:val="both"/>
      </w:pPr>
      <w:r>
        <w:rPr>
          <w:rFonts w:ascii="Times New Roman" w:hAnsi="Times New Roman" w:eastAsia="Times New Roman"/>
          <w:b w:val="0"/>
          <w:i w:val="0"/>
          <w:sz w:val="24"/>
        </w:rPr>
        <w:t>Newsroom Pulse connects RSS collection, Kafka buffering, Spark deduplication and title-only scoring, MongoDB persistence, and Streamlit presentation for international and Nepali headlines. Single-worker driver inference, process-local pacing, exact-title matching, and a single-replica Kafka topic limit resilience.</w:t>
      </w:r>
    </w:p>
    <w:p>
      <w:r>
        <w:br w:type="page"/>
      </w:r>
    </w:p>
    <w:p>
      <w:pPr>
        <w:pStyle w:val="Heading1"/>
        <w:keepNext/>
        <w:ind w:firstLine="0"/>
        <w:jc w:val="left"/>
      </w:pPr>
      <w:r>
        <w:rPr>
          <w:rFonts w:ascii="Times New Roman" w:hAnsi="Times New Roman" w:eastAsia="Times New Roman"/>
          <w:b/>
          <w:sz w:val="28"/>
        </w:rPr>
        <w:t>Appendix A. Configured RSS Feed Inventory</w:t>
      </w:r>
    </w:p>
    <w:p>
      <w:pPr>
        <w:spacing w:line="360" w:lineRule="auto" w:after="120"/>
        <w:ind w:firstLine="0"/>
        <w:jc w:val="both"/>
      </w:pPr>
      <w:r>
        <w:rPr>
          <w:rFonts w:ascii="Times New Roman" w:hAnsi="Times New Roman" w:eastAsia="Times New Roman"/>
          <w:b w:val="0"/>
          <w:i w:val="0"/>
          <w:sz w:val="24"/>
        </w:rPr>
        <w:t>The endpoint list reproduces the producer configuration. Publisher endpoint availability and content policies remain under publisher control.</w:t>
      </w:r>
    </w:p>
    <w:p>
      <w:pPr>
        <w:keepNext/>
        <w:spacing w:line="360" w:lineRule="auto" w:after="60" w:before="120"/>
        <w:ind w:firstLine="0"/>
        <w:jc w:val="left"/>
      </w:pPr>
      <w:r>
        <w:rPr>
          <w:rFonts w:ascii="Times New Roman" w:hAnsi="Times New Roman" w:eastAsia="Times New Roman"/>
          <w:b/>
          <w:i w:val="0"/>
          <w:sz w:val="20"/>
        </w:rPr>
        <w:t>Table 2. Configured RSS source inventory</w:t>
      </w:r>
    </w:p>
    <w:tbl>
      <w:tblPr>
        <w:tblStyle w:val="TableGrid"/>
        <w:tblW w:type="auto" w:w="0"/>
        <w:jc w:val="center"/>
        <w:tblLayout w:type="fixed"/>
        <w:tblLook w:firstColumn="1" w:firstRow="1" w:lastColumn="0" w:lastRow="0" w:noHBand="0" w:noVBand="1" w:val="04A0"/>
      </w:tblPr>
      <w:tblGrid>
        <w:gridCol w:w="3009"/>
        <w:gridCol w:w="3009"/>
        <w:gridCol w:w="3009"/>
      </w:tblGrid>
      <w:tr>
        <w:trPr>
          <w:tblHeader w:val="true"/>
        </w:trPr>
        <w:tc>
          <w:tcPr>
            <w:tcW w:type="dxa" w:w="1440"/>
            <w:vAlign w:val="top"/>
            <w:shd w:fill="EAEAEA"/>
          </w:tcPr>
          <w:p>
            <w:pPr>
              <w:spacing w:after="0" w:line="276" w:lineRule="auto"/>
              <w:ind w:firstLine="0"/>
              <w:jc w:val="left"/>
            </w:pPr>
            <w:r>
              <w:rPr>
                <w:rFonts w:ascii="Times New Roman" w:hAnsi="Times New Roman" w:eastAsia="Times New Roman"/>
                <w:b/>
                <w:i w:val="0"/>
                <w:sz w:val="20"/>
              </w:rPr>
              <w:t>Region</w:t>
            </w:r>
          </w:p>
        </w:tc>
        <w:tc>
          <w:tcPr>
            <w:tcW w:type="dxa" w:w="1944"/>
            <w:vAlign w:val="top"/>
            <w:shd w:fill="EAEAEA"/>
          </w:tcPr>
          <w:p>
            <w:pPr>
              <w:spacing w:after="0" w:line="276" w:lineRule="auto"/>
              <w:ind w:firstLine="0"/>
              <w:jc w:val="left"/>
            </w:pPr>
            <w:r>
              <w:rPr>
                <w:rFonts w:ascii="Times New Roman" w:hAnsi="Times New Roman" w:eastAsia="Times New Roman"/>
                <w:b/>
                <w:i w:val="0"/>
                <w:sz w:val="20"/>
              </w:rPr>
              <w:t>Publisher</w:t>
            </w:r>
          </w:p>
        </w:tc>
        <w:tc>
          <w:tcPr>
            <w:tcW w:type="dxa" w:w="5645"/>
            <w:vAlign w:val="top"/>
            <w:shd w:fill="EAEAEA"/>
          </w:tcPr>
          <w:p>
            <w:pPr>
              <w:spacing w:after="0" w:line="276" w:lineRule="auto"/>
              <w:ind w:firstLine="0"/>
              <w:jc w:val="left"/>
            </w:pPr>
            <w:r>
              <w:rPr>
                <w:rFonts w:ascii="Times New Roman" w:hAnsi="Times New Roman" w:eastAsia="Times New Roman"/>
                <w:b/>
                <w:i w:val="0"/>
                <w:sz w:val="20"/>
              </w:rPr>
              <w:t>Configured feed endpoint</w:t>
            </w:r>
          </w:p>
        </w:tc>
      </w:tr>
      <w:tr>
        <w:tc>
          <w:tcPr>
            <w:tcW w:type="dxa" w:w="1440"/>
            <w:vAlign w:val="top"/>
          </w:tcPr>
          <w:p>
            <w:pPr>
              <w:spacing w:after="0" w:line="276" w:lineRule="auto"/>
              <w:ind w:firstLine="0"/>
              <w:jc w:val="left"/>
            </w:pPr>
            <w:r>
              <w:rPr>
                <w:rFonts w:ascii="Times New Roman" w:hAnsi="Times New Roman" w:eastAsia="Times New Roman"/>
                <w:b w:val="0"/>
                <w:i w:val="0"/>
                <w:sz w:val="20"/>
              </w:rPr>
              <w:t>International</w:t>
            </w:r>
          </w:p>
        </w:tc>
        <w:tc>
          <w:tcPr>
            <w:tcW w:type="dxa" w:w="1944"/>
            <w:vAlign w:val="top"/>
          </w:tcPr>
          <w:p>
            <w:pPr>
              <w:spacing w:after="0" w:line="276" w:lineRule="auto"/>
              <w:ind w:firstLine="0"/>
              <w:jc w:val="left"/>
            </w:pPr>
            <w:r>
              <w:rPr>
                <w:rFonts w:ascii="Times New Roman" w:hAnsi="Times New Roman" w:eastAsia="Times New Roman"/>
                <w:b w:val="0"/>
                <w:i w:val="0"/>
                <w:sz w:val="20"/>
              </w:rPr>
              <w:t>BBC</w:t>
            </w:r>
          </w:p>
        </w:tc>
        <w:tc>
          <w:tcPr>
            <w:tcW w:type="dxa" w:w="5645"/>
            <w:vAlign w:val="top"/>
          </w:tcPr>
          <w:p>
            <w:pPr>
              <w:spacing w:after="0" w:line="276" w:lineRule="auto"/>
              <w:ind w:firstLine="0"/>
              <w:jc w:val="left"/>
            </w:pPr>
            <w:r>
              <w:rPr>
                <w:rFonts w:ascii="Times New Roman" w:hAnsi="Times New Roman" w:eastAsia="Times New Roman"/>
                <w:b w:val="0"/>
                <w:i w:val="0"/>
                <w:sz w:val="20"/>
              </w:rPr>
              <w:t>https://feeds.bbci.co.uk/news/rss.xml</w:t>
            </w:r>
          </w:p>
        </w:tc>
      </w:tr>
      <w:tr>
        <w:tc>
          <w:tcPr>
            <w:tcW w:type="dxa" w:w="1440"/>
            <w:vAlign w:val="top"/>
          </w:tcPr>
          <w:p>
            <w:pPr>
              <w:spacing w:after="0" w:line="276" w:lineRule="auto"/>
              <w:ind w:firstLine="0"/>
              <w:jc w:val="left"/>
            </w:pPr>
            <w:r>
              <w:rPr>
                <w:rFonts w:ascii="Times New Roman" w:hAnsi="Times New Roman" w:eastAsia="Times New Roman"/>
                <w:b w:val="0"/>
                <w:i w:val="0"/>
                <w:sz w:val="20"/>
              </w:rPr>
              <w:t>Nepali</w:t>
            </w:r>
          </w:p>
        </w:tc>
        <w:tc>
          <w:tcPr>
            <w:tcW w:type="dxa" w:w="1944"/>
            <w:vAlign w:val="top"/>
          </w:tcPr>
          <w:p>
            <w:pPr>
              <w:spacing w:after="0" w:line="276" w:lineRule="auto"/>
              <w:ind w:firstLine="0"/>
              <w:jc w:val="left"/>
            </w:pPr>
            <w:r>
              <w:rPr>
                <w:rFonts w:ascii="Times New Roman" w:hAnsi="Times New Roman" w:eastAsia="Times New Roman"/>
                <w:b w:val="0"/>
                <w:i w:val="0"/>
                <w:sz w:val="20"/>
              </w:rPr>
              <w:t>Onlinekhabar</w:t>
            </w:r>
          </w:p>
        </w:tc>
        <w:tc>
          <w:tcPr>
            <w:tcW w:type="dxa" w:w="5645"/>
            <w:vAlign w:val="top"/>
          </w:tcPr>
          <w:p>
            <w:pPr>
              <w:spacing w:after="0" w:line="276" w:lineRule="auto"/>
              <w:ind w:firstLine="0"/>
              <w:jc w:val="left"/>
            </w:pPr>
            <w:r>
              <w:rPr>
                <w:rFonts w:ascii="Times New Roman" w:hAnsi="Times New Roman" w:eastAsia="Times New Roman"/>
                <w:b w:val="0"/>
                <w:i w:val="0"/>
                <w:sz w:val="20"/>
              </w:rPr>
              <w:t>https://www.onlinekhabar.com/feed</w:t>
            </w:r>
          </w:p>
        </w:tc>
      </w:tr>
      <w:tr>
        <w:tc>
          <w:tcPr>
            <w:tcW w:type="dxa" w:w="1440"/>
            <w:vAlign w:val="top"/>
          </w:tcPr>
          <w:p>
            <w:pPr>
              <w:spacing w:after="0" w:line="276" w:lineRule="auto"/>
              <w:ind w:firstLine="0"/>
              <w:jc w:val="left"/>
            </w:pPr>
            <w:r>
              <w:rPr>
                <w:rFonts w:ascii="Times New Roman" w:hAnsi="Times New Roman" w:eastAsia="Times New Roman"/>
                <w:b w:val="0"/>
                <w:i w:val="0"/>
                <w:sz w:val="20"/>
              </w:rPr>
              <w:t>International</w:t>
            </w:r>
          </w:p>
        </w:tc>
        <w:tc>
          <w:tcPr>
            <w:tcW w:type="dxa" w:w="1944"/>
            <w:vAlign w:val="top"/>
          </w:tcPr>
          <w:p>
            <w:pPr>
              <w:spacing w:after="0" w:line="276" w:lineRule="auto"/>
              <w:ind w:firstLine="0"/>
              <w:jc w:val="left"/>
            </w:pPr>
            <w:r>
              <w:rPr>
                <w:rFonts w:ascii="Times New Roman" w:hAnsi="Times New Roman" w:eastAsia="Times New Roman"/>
                <w:b w:val="0"/>
                <w:i w:val="0"/>
                <w:sz w:val="20"/>
              </w:rPr>
              <w:t>CBS News</w:t>
            </w:r>
          </w:p>
        </w:tc>
        <w:tc>
          <w:tcPr>
            <w:tcW w:type="dxa" w:w="5645"/>
            <w:vAlign w:val="top"/>
          </w:tcPr>
          <w:p>
            <w:pPr>
              <w:spacing w:after="0" w:line="276" w:lineRule="auto"/>
              <w:ind w:firstLine="0"/>
              <w:jc w:val="left"/>
            </w:pPr>
            <w:r>
              <w:rPr>
                <w:rFonts w:ascii="Times New Roman" w:hAnsi="Times New Roman" w:eastAsia="Times New Roman"/>
                <w:b w:val="0"/>
                <w:i w:val="0"/>
                <w:sz w:val="20"/>
              </w:rPr>
              <w:t>https://www.cbsnews.com/latest/rss/main</w:t>
            </w:r>
          </w:p>
        </w:tc>
      </w:tr>
      <w:tr>
        <w:tc>
          <w:tcPr>
            <w:tcW w:type="dxa" w:w="1440"/>
            <w:vAlign w:val="top"/>
          </w:tcPr>
          <w:p>
            <w:pPr>
              <w:spacing w:after="0" w:line="276" w:lineRule="auto"/>
              <w:ind w:firstLine="0"/>
              <w:jc w:val="left"/>
            </w:pPr>
            <w:r>
              <w:rPr>
                <w:rFonts w:ascii="Times New Roman" w:hAnsi="Times New Roman" w:eastAsia="Times New Roman"/>
                <w:b w:val="0"/>
                <w:i w:val="0"/>
                <w:sz w:val="20"/>
              </w:rPr>
              <w:t>Nepali</w:t>
            </w:r>
          </w:p>
        </w:tc>
        <w:tc>
          <w:tcPr>
            <w:tcW w:type="dxa" w:w="1944"/>
            <w:vAlign w:val="top"/>
          </w:tcPr>
          <w:p>
            <w:pPr>
              <w:spacing w:after="0" w:line="276" w:lineRule="auto"/>
              <w:ind w:firstLine="0"/>
              <w:jc w:val="left"/>
            </w:pPr>
            <w:r>
              <w:rPr>
                <w:rFonts w:ascii="Times New Roman" w:hAnsi="Times New Roman" w:eastAsia="Times New Roman"/>
                <w:b w:val="0"/>
                <w:i w:val="0"/>
                <w:sz w:val="20"/>
              </w:rPr>
              <w:t>Setopati</w:t>
            </w:r>
          </w:p>
        </w:tc>
        <w:tc>
          <w:tcPr>
            <w:tcW w:type="dxa" w:w="5645"/>
            <w:vAlign w:val="top"/>
          </w:tcPr>
          <w:p>
            <w:pPr>
              <w:spacing w:after="0" w:line="276" w:lineRule="auto"/>
              <w:ind w:firstLine="0"/>
              <w:jc w:val="left"/>
            </w:pPr>
            <w:r>
              <w:rPr>
                <w:rFonts w:ascii="Times New Roman" w:hAnsi="Times New Roman" w:eastAsia="Times New Roman"/>
                <w:b w:val="0"/>
                <w:i w:val="0"/>
                <w:sz w:val="20"/>
              </w:rPr>
              <w:t>https://www.setopati.com/feed</w:t>
            </w:r>
          </w:p>
        </w:tc>
      </w:tr>
      <w:tr>
        <w:tc>
          <w:tcPr>
            <w:tcW w:type="dxa" w:w="1440"/>
            <w:vAlign w:val="top"/>
          </w:tcPr>
          <w:p>
            <w:pPr>
              <w:spacing w:after="0" w:line="276" w:lineRule="auto"/>
              <w:ind w:firstLine="0"/>
              <w:jc w:val="left"/>
            </w:pPr>
            <w:r>
              <w:rPr>
                <w:rFonts w:ascii="Times New Roman" w:hAnsi="Times New Roman" w:eastAsia="Times New Roman"/>
                <w:b w:val="0"/>
                <w:i w:val="0"/>
                <w:sz w:val="20"/>
              </w:rPr>
              <w:t>International</w:t>
            </w:r>
          </w:p>
        </w:tc>
        <w:tc>
          <w:tcPr>
            <w:tcW w:type="dxa" w:w="1944"/>
            <w:vAlign w:val="top"/>
          </w:tcPr>
          <w:p>
            <w:pPr>
              <w:spacing w:after="0" w:line="276" w:lineRule="auto"/>
              <w:ind w:firstLine="0"/>
              <w:jc w:val="left"/>
            </w:pPr>
            <w:r>
              <w:rPr>
                <w:rFonts w:ascii="Times New Roman" w:hAnsi="Times New Roman" w:eastAsia="Times New Roman"/>
                <w:b w:val="0"/>
                <w:i w:val="0"/>
                <w:sz w:val="20"/>
              </w:rPr>
              <w:t>The New York Times</w:t>
            </w:r>
          </w:p>
        </w:tc>
        <w:tc>
          <w:tcPr>
            <w:tcW w:type="dxa" w:w="5645"/>
            <w:vAlign w:val="top"/>
          </w:tcPr>
          <w:p>
            <w:pPr>
              <w:spacing w:after="0" w:line="276" w:lineRule="auto"/>
              <w:ind w:firstLine="0"/>
              <w:jc w:val="left"/>
            </w:pPr>
            <w:r>
              <w:rPr>
                <w:rFonts w:ascii="Times New Roman" w:hAnsi="Times New Roman" w:eastAsia="Times New Roman"/>
                <w:b w:val="0"/>
                <w:i w:val="0"/>
                <w:sz w:val="20"/>
              </w:rPr>
              <w:t>https://rss.nytimes.com/services/xml/rss/nyt/HomePage.xml</w:t>
            </w:r>
          </w:p>
        </w:tc>
      </w:tr>
      <w:tr>
        <w:tc>
          <w:tcPr>
            <w:tcW w:type="dxa" w:w="1440"/>
            <w:vAlign w:val="top"/>
          </w:tcPr>
          <w:p>
            <w:pPr>
              <w:spacing w:after="0" w:line="276" w:lineRule="auto"/>
              <w:ind w:firstLine="0"/>
              <w:jc w:val="left"/>
            </w:pPr>
            <w:r>
              <w:rPr>
                <w:rFonts w:ascii="Times New Roman" w:hAnsi="Times New Roman" w:eastAsia="Times New Roman"/>
                <w:b w:val="0"/>
                <w:i w:val="0"/>
                <w:sz w:val="20"/>
              </w:rPr>
              <w:t>Nepali</w:t>
            </w:r>
          </w:p>
        </w:tc>
        <w:tc>
          <w:tcPr>
            <w:tcW w:type="dxa" w:w="1944"/>
            <w:vAlign w:val="top"/>
          </w:tcPr>
          <w:p>
            <w:pPr>
              <w:spacing w:after="0" w:line="276" w:lineRule="auto"/>
              <w:ind w:firstLine="0"/>
              <w:jc w:val="left"/>
            </w:pPr>
            <w:r>
              <w:rPr>
                <w:rFonts w:ascii="Times New Roman" w:hAnsi="Times New Roman" w:eastAsia="Times New Roman"/>
                <w:b w:val="0"/>
                <w:i w:val="0"/>
                <w:sz w:val="20"/>
              </w:rPr>
              <w:t>Nepal News</w:t>
            </w:r>
          </w:p>
        </w:tc>
        <w:tc>
          <w:tcPr>
            <w:tcW w:type="dxa" w:w="5645"/>
            <w:vAlign w:val="top"/>
          </w:tcPr>
          <w:p>
            <w:pPr>
              <w:spacing w:after="0" w:line="276" w:lineRule="auto"/>
              <w:ind w:firstLine="0"/>
              <w:jc w:val="left"/>
            </w:pPr>
            <w:r>
              <w:rPr>
                <w:rFonts w:ascii="Times New Roman" w:hAnsi="Times New Roman" w:eastAsia="Times New Roman"/>
                <w:b w:val="0"/>
                <w:i w:val="0"/>
                <w:sz w:val="20"/>
              </w:rPr>
              <w:t>https://nepalnews.com/feed</w:t>
            </w:r>
          </w:p>
        </w:tc>
      </w:tr>
      <w:tr>
        <w:tc>
          <w:tcPr>
            <w:tcW w:type="dxa" w:w="1440"/>
            <w:vAlign w:val="top"/>
          </w:tcPr>
          <w:p>
            <w:pPr>
              <w:spacing w:after="0" w:line="276" w:lineRule="auto"/>
              <w:ind w:firstLine="0"/>
              <w:jc w:val="left"/>
            </w:pPr>
            <w:r>
              <w:rPr>
                <w:rFonts w:ascii="Times New Roman" w:hAnsi="Times New Roman" w:eastAsia="Times New Roman"/>
                <w:b w:val="0"/>
                <w:i w:val="0"/>
                <w:sz w:val="20"/>
              </w:rPr>
              <w:t>International</w:t>
            </w:r>
          </w:p>
        </w:tc>
        <w:tc>
          <w:tcPr>
            <w:tcW w:type="dxa" w:w="1944"/>
            <w:vAlign w:val="top"/>
          </w:tcPr>
          <w:p>
            <w:pPr>
              <w:spacing w:after="0" w:line="276" w:lineRule="auto"/>
              <w:ind w:firstLine="0"/>
              <w:jc w:val="left"/>
            </w:pPr>
            <w:r>
              <w:rPr>
                <w:rFonts w:ascii="Times New Roman" w:hAnsi="Times New Roman" w:eastAsia="Times New Roman"/>
                <w:b w:val="0"/>
                <w:i w:val="0"/>
                <w:sz w:val="20"/>
              </w:rPr>
              <w:t>Google News (U.S.)</w:t>
            </w:r>
          </w:p>
        </w:tc>
        <w:tc>
          <w:tcPr>
            <w:tcW w:type="dxa" w:w="5645"/>
            <w:vAlign w:val="top"/>
          </w:tcPr>
          <w:p>
            <w:pPr>
              <w:spacing w:after="0" w:line="276" w:lineRule="auto"/>
              <w:ind w:firstLine="0"/>
              <w:jc w:val="left"/>
            </w:pPr>
            <w:r>
              <w:rPr>
                <w:rFonts w:ascii="Times New Roman" w:hAnsi="Times New Roman" w:eastAsia="Times New Roman"/>
                <w:b w:val="0"/>
                <w:i w:val="0"/>
                <w:sz w:val="20"/>
              </w:rPr>
              <w:t>https://news.google.com/rss?hl=en-US&amp;gl=US&amp;ceid=US:en</w:t>
            </w:r>
          </w:p>
        </w:tc>
      </w:tr>
      <w:tr>
        <w:tc>
          <w:tcPr>
            <w:tcW w:type="dxa" w:w="1440"/>
            <w:vAlign w:val="top"/>
          </w:tcPr>
          <w:p>
            <w:pPr>
              <w:spacing w:after="0" w:line="276" w:lineRule="auto"/>
              <w:ind w:firstLine="0"/>
              <w:jc w:val="left"/>
            </w:pPr>
            <w:r>
              <w:rPr>
                <w:rFonts w:ascii="Times New Roman" w:hAnsi="Times New Roman" w:eastAsia="Times New Roman"/>
                <w:b w:val="0"/>
                <w:i w:val="0"/>
                <w:sz w:val="20"/>
              </w:rPr>
              <w:t>Nepali</w:t>
            </w:r>
          </w:p>
        </w:tc>
        <w:tc>
          <w:tcPr>
            <w:tcW w:type="dxa" w:w="1944"/>
            <w:vAlign w:val="top"/>
          </w:tcPr>
          <w:p>
            <w:pPr>
              <w:spacing w:after="0" w:line="276" w:lineRule="auto"/>
              <w:ind w:firstLine="0"/>
              <w:jc w:val="left"/>
            </w:pPr>
            <w:r>
              <w:rPr>
                <w:rFonts w:ascii="Times New Roman" w:hAnsi="Times New Roman" w:eastAsia="Times New Roman"/>
                <w:b w:val="0"/>
                <w:i w:val="0"/>
                <w:sz w:val="20"/>
              </w:rPr>
              <w:t>Ratopati</w:t>
            </w:r>
          </w:p>
        </w:tc>
        <w:tc>
          <w:tcPr>
            <w:tcW w:type="dxa" w:w="5645"/>
            <w:vAlign w:val="top"/>
          </w:tcPr>
          <w:p>
            <w:pPr>
              <w:spacing w:after="0" w:line="276" w:lineRule="auto"/>
              <w:ind w:firstLine="0"/>
              <w:jc w:val="left"/>
            </w:pPr>
            <w:r>
              <w:rPr>
                <w:rFonts w:ascii="Times New Roman" w:hAnsi="Times New Roman" w:eastAsia="Times New Roman"/>
                <w:b w:val="0"/>
                <w:i w:val="0"/>
                <w:sz w:val="20"/>
              </w:rPr>
              <w:t>https://www.ratopati.com/feed</w:t>
            </w:r>
          </w:p>
        </w:tc>
      </w:tr>
      <w:tr>
        <w:tc>
          <w:tcPr>
            <w:tcW w:type="dxa" w:w="1440"/>
            <w:vAlign w:val="top"/>
          </w:tcPr>
          <w:p>
            <w:pPr>
              <w:spacing w:after="0" w:line="276" w:lineRule="auto"/>
              <w:ind w:firstLine="0"/>
              <w:jc w:val="left"/>
            </w:pPr>
            <w:r>
              <w:rPr>
                <w:rFonts w:ascii="Times New Roman" w:hAnsi="Times New Roman" w:eastAsia="Times New Roman"/>
                <w:b w:val="0"/>
                <w:i w:val="0"/>
                <w:sz w:val="20"/>
              </w:rPr>
              <w:t>International</w:t>
            </w:r>
          </w:p>
        </w:tc>
        <w:tc>
          <w:tcPr>
            <w:tcW w:type="dxa" w:w="1944"/>
            <w:vAlign w:val="top"/>
          </w:tcPr>
          <w:p>
            <w:pPr>
              <w:spacing w:after="0" w:line="276" w:lineRule="auto"/>
              <w:ind w:firstLine="0"/>
              <w:jc w:val="left"/>
            </w:pPr>
            <w:r>
              <w:rPr>
                <w:rFonts w:ascii="Times New Roman" w:hAnsi="Times New Roman" w:eastAsia="Times New Roman"/>
                <w:b w:val="0"/>
                <w:i w:val="0"/>
                <w:sz w:val="20"/>
              </w:rPr>
              <w:t>NPR</w:t>
            </w:r>
          </w:p>
        </w:tc>
        <w:tc>
          <w:tcPr>
            <w:tcW w:type="dxa" w:w="5645"/>
            <w:vAlign w:val="top"/>
          </w:tcPr>
          <w:p>
            <w:pPr>
              <w:spacing w:after="0" w:line="276" w:lineRule="auto"/>
              <w:ind w:firstLine="0"/>
              <w:jc w:val="left"/>
            </w:pPr>
            <w:r>
              <w:rPr>
                <w:rFonts w:ascii="Times New Roman" w:hAnsi="Times New Roman" w:eastAsia="Times New Roman"/>
                <w:b w:val="0"/>
                <w:i w:val="0"/>
                <w:sz w:val="20"/>
              </w:rPr>
              <w:t>https://feeds.npr.org/1003/rss.xml</w:t>
            </w:r>
          </w:p>
        </w:tc>
      </w:tr>
      <w:tr>
        <w:tc>
          <w:tcPr>
            <w:tcW w:type="dxa" w:w="1440"/>
            <w:vAlign w:val="top"/>
          </w:tcPr>
          <w:p>
            <w:pPr>
              <w:spacing w:after="0" w:line="276" w:lineRule="auto"/>
              <w:ind w:firstLine="0"/>
              <w:jc w:val="left"/>
            </w:pPr>
            <w:r>
              <w:rPr>
                <w:rFonts w:ascii="Times New Roman" w:hAnsi="Times New Roman" w:eastAsia="Times New Roman"/>
                <w:b w:val="0"/>
                <w:i w:val="0"/>
                <w:sz w:val="20"/>
              </w:rPr>
              <w:t>Nepali</w:t>
            </w:r>
          </w:p>
        </w:tc>
        <w:tc>
          <w:tcPr>
            <w:tcW w:type="dxa" w:w="1944"/>
            <w:vAlign w:val="top"/>
          </w:tcPr>
          <w:p>
            <w:pPr>
              <w:spacing w:after="0" w:line="276" w:lineRule="auto"/>
              <w:ind w:firstLine="0"/>
              <w:jc w:val="left"/>
            </w:pPr>
            <w:r>
              <w:rPr>
                <w:rFonts w:ascii="Times New Roman" w:hAnsi="Times New Roman" w:eastAsia="Times New Roman"/>
                <w:b w:val="0"/>
                <w:i w:val="0"/>
                <w:sz w:val="20"/>
              </w:rPr>
              <w:t>Nepal Press</w:t>
            </w:r>
          </w:p>
        </w:tc>
        <w:tc>
          <w:tcPr>
            <w:tcW w:type="dxa" w:w="5645"/>
            <w:vAlign w:val="top"/>
          </w:tcPr>
          <w:p>
            <w:pPr>
              <w:spacing w:after="0" w:line="276" w:lineRule="auto"/>
              <w:ind w:firstLine="0"/>
              <w:jc w:val="left"/>
            </w:pPr>
            <w:r>
              <w:rPr>
                <w:rFonts w:ascii="Times New Roman" w:hAnsi="Times New Roman" w:eastAsia="Times New Roman"/>
                <w:b w:val="0"/>
                <w:i w:val="0"/>
                <w:sz w:val="20"/>
              </w:rPr>
              <w:t>https://www.nepalpress.com/feed/</w:t>
            </w:r>
          </w:p>
        </w:tc>
      </w:tr>
      <w:tr>
        <w:tc>
          <w:tcPr>
            <w:tcW w:type="dxa" w:w="1440"/>
            <w:vAlign w:val="top"/>
          </w:tcPr>
          <w:p>
            <w:pPr>
              <w:spacing w:after="0" w:line="276" w:lineRule="auto"/>
              <w:ind w:firstLine="0"/>
              <w:jc w:val="left"/>
            </w:pPr>
            <w:r>
              <w:rPr>
                <w:rFonts w:ascii="Times New Roman" w:hAnsi="Times New Roman" w:eastAsia="Times New Roman"/>
                <w:b w:val="0"/>
                <w:i w:val="0"/>
                <w:sz w:val="20"/>
              </w:rPr>
              <w:t>International</w:t>
            </w:r>
          </w:p>
        </w:tc>
        <w:tc>
          <w:tcPr>
            <w:tcW w:type="dxa" w:w="1944"/>
            <w:vAlign w:val="top"/>
          </w:tcPr>
          <w:p>
            <w:pPr>
              <w:spacing w:after="0" w:line="276" w:lineRule="auto"/>
              <w:ind w:firstLine="0"/>
              <w:jc w:val="left"/>
            </w:pPr>
            <w:r>
              <w:rPr>
                <w:rFonts w:ascii="Times New Roman" w:hAnsi="Times New Roman" w:eastAsia="Times New Roman"/>
                <w:b w:val="0"/>
                <w:i w:val="0"/>
                <w:sz w:val="20"/>
              </w:rPr>
              <w:t>The Guardian</w:t>
            </w:r>
          </w:p>
        </w:tc>
        <w:tc>
          <w:tcPr>
            <w:tcW w:type="dxa" w:w="5645"/>
            <w:vAlign w:val="top"/>
          </w:tcPr>
          <w:p>
            <w:pPr>
              <w:spacing w:after="0" w:line="276" w:lineRule="auto"/>
              <w:ind w:firstLine="0"/>
              <w:jc w:val="left"/>
            </w:pPr>
            <w:r>
              <w:rPr>
                <w:rFonts w:ascii="Times New Roman" w:hAnsi="Times New Roman" w:eastAsia="Times New Roman"/>
                <w:b w:val="0"/>
                <w:i w:val="0"/>
                <w:sz w:val="20"/>
              </w:rPr>
              <w:t>https://www.theguardian.com/world/rss</w:t>
            </w:r>
          </w:p>
        </w:tc>
      </w:tr>
      <w:tr>
        <w:tc>
          <w:tcPr>
            <w:tcW w:type="dxa" w:w="1440"/>
            <w:vAlign w:val="top"/>
          </w:tcPr>
          <w:p>
            <w:pPr>
              <w:spacing w:after="0" w:line="276" w:lineRule="auto"/>
              <w:ind w:firstLine="0"/>
              <w:jc w:val="left"/>
            </w:pPr>
            <w:r>
              <w:rPr>
                <w:rFonts w:ascii="Times New Roman" w:hAnsi="Times New Roman" w:eastAsia="Times New Roman"/>
                <w:b w:val="0"/>
                <w:i w:val="0"/>
                <w:sz w:val="20"/>
              </w:rPr>
              <w:t>Nepali</w:t>
            </w:r>
          </w:p>
        </w:tc>
        <w:tc>
          <w:tcPr>
            <w:tcW w:type="dxa" w:w="1944"/>
            <w:vAlign w:val="top"/>
          </w:tcPr>
          <w:p>
            <w:pPr>
              <w:spacing w:after="0" w:line="276" w:lineRule="auto"/>
              <w:ind w:firstLine="0"/>
              <w:jc w:val="left"/>
            </w:pPr>
            <w:r>
              <w:rPr>
                <w:rFonts w:ascii="Times New Roman" w:hAnsi="Times New Roman" w:eastAsia="Times New Roman"/>
                <w:b w:val="0"/>
                <w:i w:val="0"/>
                <w:sz w:val="20"/>
              </w:rPr>
              <w:t>The Himalayan Times</w:t>
            </w:r>
          </w:p>
        </w:tc>
        <w:tc>
          <w:tcPr>
            <w:tcW w:type="dxa" w:w="5645"/>
            <w:vAlign w:val="top"/>
          </w:tcPr>
          <w:p>
            <w:pPr>
              <w:spacing w:after="0" w:line="276" w:lineRule="auto"/>
              <w:ind w:firstLine="0"/>
              <w:jc w:val="left"/>
            </w:pPr>
            <w:r>
              <w:rPr>
                <w:rFonts w:ascii="Times New Roman" w:hAnsi="Times New Roman" w:eastAsia="Times New Roman"/>
                <w:b w:val="0"/>
                <w:i w:val="0"/>
                <w:sz w:val="20"/>
              </w:rPr>
              <w:t>https://www.thehimalayantimes.com/rssFeed/15</w:t>
            </w:r>
          </w:p>
        </w:tc>
      </w:tr>
      <w:tr>
        <w:tc>
          <w:tcPr>
            <w:tcW w:type="dxa" w:w="1440"/>
            <w:vAlign w:val="top"/>
          </w:tcPr>
          <w:p>
            <w:pPr>
              <w:spacing w:after="0" w:line="276" w:lineRule="auto"/>
              <w:ind w:firstLine="0"/>
              <w:jc w:val="left"/>
            </w:pPr>
            <w:r>
              <w:rPr>
                <w:rFonts w:ascii="Times New Roman" w:hAnsi="Times New Roman" w:eastAsia="Times New Roman"/>
                <w:b w:val="0"/>
                <w:i w:val="0"/>
                <w:sz w:val="20"/>
              </w:rPr>
              <w:t>International</w:t>
            </w:r>
          </w:p>
        </w:tc>
        <w:tc>
          <w:tcPr>
            <w:tcW w:type="dxa" w:w="1944"/>
            <w:vAlign w:val="top"/>
          </w:tcPr>
          <w:p>
            <w:pPr>
              <w:spacing w:after="0" w:line="276" w:lineRule="auto"/>
              <w:ind w:firstLine="0"/>
              <w:jc w:val="left"/>
            </w:pPr>
            <w:r>
              <w:rPr>
                <w:rFonts w:ascii="Times New Roman" w:hAnsi="Times New Roman" w:eastAsia="Times New Roman"/>
                <w:b w:val="0"/>
                <w:i w:val="0"/>
                <w:sz w:val="20"/>
              </w:rPr>
              <w:t>Al Jazeera</w:t>
            </w:r>
          </w:p>
        </w:tc>
        <w:tc>
          <w:tcPr>
            <w:tcW w:type="dxa" w:w="5645"/>
            <w:vAlign w:val="top"/>
          </w:tcPr>
          <w:p>
            <w:pPr>
              <w:spacing w:after="0" w:line="276" w:lineRule="auto"/>
              <w:ind w:firstLine="0"/>
              <w:jc w:val="left"/>
            </w:pPr>
            <w:r>
              <w:rPr>
                <w:rFonts w:ascii="Times New Roman" w:hAnsi="Times New Roman" w:eastAsia="Times New Roman"/>
                <w:b w:val="0"/>
                <w:i w:val="0"/>
                <w:sz w:val="20"/>
              </w:rPr>
              <w:t>https://www.aljazeera.com/xml/rss/all.xml</w:t>
            </w:r>
          </w:p>
        </w:tc>
      </w:tr>
      <w:tr>
        <w:tc>
          <w:tcPr>
            <w:tcW w:type="dxa" w:w="1440"/>
            <w:vAlign w:val="top"/>
          </w:tcPr>
          <w:p>
            <w:pPr>
              <w:spacing w:after="0" w:line="276" w:lineRule="auto"/>
              <w:ind w:firstLine="0"/>
              <w:jc w:val="left"/>
            </w:pPr>
            <w:r>
              <w:rPr>
                <w:rFonts w:ascii="Times New Roman" w:hAnsi="Times New Roman" w:eastAsia="Times New Roman"/>
                <w:b w:val="0"/>
                <w:i w:val="0"/>
                <w:sz w:val="20"/>
              </w:rPr>
              <w:t>Nepali</w:t>
            </w:r>
          </w:p>
        </w:tc>
        <w:tc>
          <w:tcPr>
            <w:tcW w:type="dxa" w:w="1944"/>
            <w:vAlign w:val="top"/>
          </w:tcPr>
          <w:p>
            <w:pPr>
              <w:spacing w:after="0" w:line="276" w:lineRule="auto"/>
              <w:ind w:firstLine="0"/>
              <w:jc w:val="left"/>
            </w:pPr>
            <w:r>
              <w:rPr>
                <w:rFonts w:ascii="Times New Roman" w:hAnsi="Times New Roman" w:eastAsia="Times New Roman"/>
                <w:b w:val="0"/>
                <w:i w:val="0"/>
                <w:sz w:val="20"/>
              </w:rPr>
              <w:t>The Kathmandu Post</w:t>
            </w:r>
          </w:p>
        </w:tc>
        <w:tc>
          <w:tcPr>
            <w:tcW w:type="dxa" w:w="5645"/>
            <w:vAlign w:val="top"/>
          </w:tcPr>
          <w:p>
            <w:pPr>
              <w:spacing w:after="0" w:line="276" w:lineRule="auto"/>
              <w:ind w:firstLine="0"/>
              <w:jc w:val="left"/>
            </w:pPr>
            <w:r>
              <w:rPr>
                <w:rFonts w:ascii="Times New Roman" w:hAnsi="Times New Roman" w:eastAsia="Times New Roman"/>
                <w:b w:val="0"/>
                <w:i w:val="0"/>
                <w:sz w:val="20"/>
              </w:rPr>
              <w:t>https://kathmandupost.com/rss/</w:t>
            </w:r>
          </w:p>
        </w:tc>
      </w:tr>
      <w:tr>
        <w:tc>
          <w:tcPr>
            <w:tcW w:type="dxa" w:w="1440"/>
            <w:vAlign w:val="top"/>
          </w:tcPr>
          <w:p>
            <w:pPr>
              <w:spacing w:after="0" w:line="276" w:lineRule="auto"/>
              <w:ind w:firstLine="0"/>
              <w:jc w:val="left"/>
            </w:pPr>
            <w:r>
              <w:rPr>
                <w:rFonts w:ascii="Times New Roman" w:hAnsi="Times New Roman" w:eastAsia="Times New Roman"/>
                <w:b w:val="0"/>
                <w:i w:val="0"/>
                <w:sz w:val="20"/>
              </w:rPr>
              <w:t>International</w:t>
            </w:r>
          </w:p>
        </w:tc>
        <w:tc>
          <w:tcPr>
            <w:tcW w:type="dxa" w:w="1944"/>
            <w:vAlign w:val="top"/>
          </w:tcPr>
          <w:p>
            <w:pPr>
              <w:spacing w:after="0" w:line="276" w:lineRule="auto"/>
              <w:ind w:firstLine="0"/>
              <w:jc w:val="left"/>
            </w:pPr>
            <w:r>
              <w:rPr>
                <w:rFonts w:ascii="Times New Roman" w:hAnsi="Times New Roman" w:eastAsia="Times New Roman"/>
                <w:b w:val="0"/>
                <w:i w:val="0"/>
                <w:sz w:val="20"/>
              </w:rPr>
              <w:t>Deutsche Welle</w:t>
            </w:r>
          </w:p>
        </w:tc>
        <w:tc>
          <w:tcPr>
            <w:tcW w:type="dxa" w:w="5645"/>
            <w:vAlign w:val="top"/>
          </w:tcPr>
          <w:p>
            <w:pPr>
              <w:spacing w:after="0" w:line="276" w:lineRule="auto"/>
              <w:ind w:firstLine="0"/>
              <w:jc w:val="left"/>
            </w:pPr>
            <w:r>
              <w:rPr>
                <w:rFonts w:ascii="Times New Roman" w:hAnsi="Times New Roman" w:eastAsia="Times New Roman"/>
                <w:b w:val="0"/>
                <w:i w:val="0"/>
                <w:sz w:val="20"/>
              </w:rPr>
              <w:t>https://rss.dw.com/rdf/rss-en-all</w:t>
            </w:r>
          </w:p>
        </w:tc>
      </w:tr>
      <w:tr>
        <w:tc>
          <w:tcPr>
            <w:tcW w:type="dxa" w:w="1440"/>
            <w:vAlign w:val="top"/>
          </w:tcPr>
          <w:p>
            <w:pPr>
              <w:spacing w:after="0" w:line="276" w:lineRule="auto"/>
              <w:ind w:firstLine="0"/>
              <w:jc w:val="left"/>
            </w:pPr>
            <w:r>
              <w:rPr>
                <w:rFonts w:ascii="Times New Roman" w:hAnsi="Times New Roman" w:eastAsia="Times New Roman"/>
                <w:b w:val="0"/>
                <w:i w:val="0"/>
                <w:sz w:val="20"/>
              </w:rPr>
              <w:t>International</w:t>
            </w:r>
          </w:p>
        </w:tc>
        <w:tc>
          <w:tcPr>
            <w:tcW w:type="dxa" w:w="1944"/>
            <w:vAlign w:val="top"/>
          </w:tcPr>
          <w:p>
            <w:pPr>
              <w:spacing w:after="0" w:line="276" w:lineRule="auto"/>
              <w:ind w:firstLine="0"/>
              <w:jc w:val="left"/>
            </w:pPr>
            <w:r>
              <w:rPr>
                <w:rFonts w:ascii="Times New Roman" w:hAnsi="Times New Roman" w:eastAsia="Times New Roman"/>
                <w:b w:val="0"/>
                <w:i w:val="0"/>
                <w:sz w:val="20"/>
              </w:rPr>
              <w:t>France 24</w:t>
            </w:r>
          </w:p>
        </w:tc>
        <w:tc>
          <w:tcPr>
            <w:tcW w:type="dxa" w:w="5645"/>
            <w:vAlign w:val="top"/>
          </w:tcPr>
          <w:p>
            <w:pPr>
              <w:spacing w:after="0" w:line="276" w:lineRule="auto"/>
              <w:ind w:firstLine="0"/>
              <w:jc w:val="left"/>
            </w:pPr>
            <w:r>
              <w:rPr>
                <w:rFonts w:ascii="Times New Roman" w:hAnsi="Times New Roman" w:eastAsia="Times New Roman"/>
                <w:b w:val="0"/>
                <w:i w:val="0"/>
                <w:sz w:val="20"/>
              </w:rPr>
              <w:t>https://www.france24.com/en/rss</w:t>
            </w:r>
          </w:p>
        </w:tc>
      </w:tr>
      <w:tr>
        <w:tc>
          <w:tcPr>
            <w:tcW w:type="dxa" w:w="1440"/>
            <w:vAlign w:val="top"/>
          </w:tcPr>
          <w:p>
            <w:pPr>
              <w:spacing w:after="0" w:line="276" w:lineRule="auto"/>
              <w:ind w:firstLine="0"/>
              <w:jc w:val="left"/>
            </w:pPr>
            <w:r>
              <w:rPr>
                <w:rFonts w:ascii="Times New Roman" w:hAnsi="Times New Roman" w:eastAsia="Times New Roman"/>
                <w:b w:val="0"/>
                <w:i w:val="0"/>
                <w:sz w:val="20"/>
              </w:rPr>
              <w:t>International</w:t>
            </w:r>
          </w:p>
        </w:tc>
        <w:tc>
          <w:tcPr>
            <w:tcW w:type="dxa" w:w="1944"/>
            <w:vAlign w:val="top"/>
          </w:tcPr>
          <w:p>
            <w:pPr>
              <w:spacing w:after="0" w:line="276" w:lineRule="auto"/>
              <w:ind w:firstLine="0"/>
              <w:jc w:val="left"/>
            </w:pPr>
            <w:r>
              <w:rPr>
                <w:rFonts w:ascii="Times New Roman" w:hAnsi="Times New Roman" w:eastAsia="Times New Roman"/>
                <w:b w:val="0"/>
                <w:i w:val="0"/>
                <w:sz w:val="20"/>
              </w:rPr>
              <w:t>CNBC</w:t>
            </w:r>
          </w:p>
        </w:tc>
        <w:tc>
          <w:tcPr>
            <w:tcW w:type="dxa" w:w="5645"/>
            <w:vAlign w:val="top"/>
          </w:tcPr>
          <w:p>
            <w:pPr>
              <w:spacing w:after="0" w:line="276" w:lineRule="auto"/>
              <w:ind w:firstLine="0"/>
              <w:jc w:val="left"/>
            </w:pPr>
            <w:r>
              <w:rPr>
                <w:rFonts w:ascii="Times New Roman" w:hAnsi="Times New Roman" w:eastAsia="Times New Roman"/>
                <w:b w:val="0"/>
                <w:i w:val="0"/>
                <w:sz w:val="20"/>
              </w:rPr>
              <w:t>https://www.cnbc.com/id/100003114/device/rss/rss.html</w:t>
            </w:r>
          </w:p>
        </w:tc>
      </w:tr>
      <w:tr>
        <w:tc>
          <w:tcPr>
            <w:tcW w:type="dxa" w:w="1440"/>
            <w:vAlign w:val="top"/>
          </w:tcPr>
          <w:p>
            <w:pPr>
              <w:spacing w:after="0" w:line="276" w:lineRule="auto"/>
              <w:ind w:firstLine="0"/>
              <w:jc w:val="left"/>
            </w:pPr>
            <w:r>
              <w:rPr>
                <w:rFonts w:ascii="Times New Roman" w:hAnsi="Times New Roman" w:eastAsia="Times New Roman"/>
                <w:b w:val="0"/>
                <w:i w:val="0"/>
                <w:sz w:val="20"/>
              </w:rPr>
              <w:t>International</w:t>
            </w:r>
          </w:p>
        </w:tc>
        <w:tc>
          <w:tcPr>
            <w:tcW w:type="dxa" w:w="1944"/>
            <w:vAlign w:val="top"/>
          </w:tcPr>
          <w:p>
            <w:pPr>
              <w:spacing w:after="0" w:line="276" w:lineRule="auto"/>
              <w:ind w:firstLine="0"/>
              <w:jc w:val="left"/>
            </w:pPr>
            <w:r>
              <w:rPr>
                <w:rFonts w:ascii="Times New Roman" w:hAnsi="Times New Roman" w:eastAsia="Times New Roman"/>
                <w:b w:val="0"/>
                <w:i w:val="0"/>
                <w:sz w:val="20"/>
              </w:rPr>
              <w:t>NBC News</w:t>
            </w:r>
          </w:p>
        </w:tc>
        <w:tc>
          <w:tcPr>
            <w:tcW w:type="dxa" w:w="5645"/>
            <w:vAlign w:val="top"/>
          </w:tcPr>
          <w:p>
            <w:pPr>
              <w:spacing w:after="0" w:line="276" w:lineRule="auto"/>
              <w:ind w:firstLine="0"/>
              <w:jc w:val="left"/>
            </w:pPr>
            <w:r>
              <w:rPr>
                <w:rFonts w:ascii="Times New Roman" w:hAnsi="Times New Roman" w:eastAsia="Times New Roman"/>
                <w:b w:val="0"/>
                <w:i w:val="0"/>
                <w:sz w:val="20"/>
              </w:rPr>
              <w:t>https://feeds.nbcnews.com/nbcnews/public/news</w:t>
            </w:r>
          </w:p>
        </w:tc>
      </w:tr>
      <w:tr>
        <w:tc>
          <w:tcPr>
            <w:tcW w:type="dxa" w:w="1440"/>
            <w:vAlign w:val="top"/>
          </w:tcPr>
          <w:p>
            <w:pPr>
              <w:spacing w:after="0" w:line="276" w:lineRule="auto"/>
              <w:ind w:firstLine="0"/>
              <w:jc w:val="left"/>
            </w:pPr>
            <w:r>
              <w:rPr>
                <w:rFonts w:ascii="Times New Roman" w:hAnsi="Times New Roman" w:eastAsia="Times New Roman"/>
                <w:b w:val="0"/>
                <w:i w:val="0"/>
                <w:sz w:val="20"/>
              </w:rPr>
              <w:t>International</w:t>
            </w:r>
          </w:p>
        </w:tc>
        <w:tc>
          <w:tcPr>
            <w:tcW w:type="dxa" w:w="1944"/>
            <w:vAlign w:val="top"/>
          </w:tcPr>
          <w:p>
            <w:pPr>
              <w:spacing w:after="0" w:line="276" w:lineRule="auto"/>
              <w:ind w:firstLine="0"/>
              <w:jc w:val="left"/>
            </w:pPr>
            <w:r>
              <w:rPr>
                <w:rFonts w:ascii="Times New Roman" w:hAnsi="Times New Roman" w:eastAsia="Times New Roman"/>
                <w:b w:val="0"/>
                <w:i w:val="0"/>
                <w:sz w:val="20"/>
              </w:rPr>
              <w:t>ABC News</w:t>
            </w:r>
          </w:p>
        </w:tc>
        <w:tc>
          <w:tcPr>
            <w:tcW w:type="dxa" w:w="5645"/>
            <w:vAlign w:val="top"/>
          </w:tcPr>
          <w:p>
            <w:pPr>
              <w:spacing w:after="0" w:line="276" w:lineRule="auto"/>
              <w:ind w:firstLine="0"/>
              <w:jc w:val="left"/>
            </w:pPr>
            <w:r>
              <w:rPr>
                <w:rFonts w:ascii="Times New Roman" w:hAnsi="Times New Roman" w:eastAsia="Times New Roman"/>
                <w:b w:val="0"/>
                <w:i w:val="0"/>
                <w:sz w:val="20"/>
              </w:rPr>
              <w:t>https://abcnews.go.com/abcnews/topstories</w:t>
            </w:r>
          </w:p>
        </w:tc>
      </w:tr>
    </w:tbl>
    <w:p>
      <w:pPr>
        <w:spacing w:after="20" w:line="240" w:lineRule="auto"/>
      </w:pPr>
    </w:p>
    <w:p>
      <w:r>
        <w:br w:type="page"/>
      </w:r>
    </w:p>
    <w:p>
      <w:pPr>
        <w:pStyle w:val="Heading1"/>
        <w:keepNext/>
        <w:ind w:firstLine="0"/>
        <w:jc w:val="left"/>
      </w:pPr>
      <w:r>
        <w:rPr>
          <w:rFonts w:ascii="Times New Roman" w:hAnsi="Times New Roman" w:eastAsia="Times New Roman"/>
          <w:b/>
          <w:sz w:val="28"/>
        </w:rPr>
        <w:t>References</w:t>
      </w:r>
    </w:p>
    <w:p>
      <w:pPr>
        <w:spacing w:line="360" w:lineRule="auto" w:after="120"/>
        <w:ind w:left="461" w:hanging="461"/>
        <w:jc w:val="left"/>
      </w:pPr>
      <w:r>
        <w:rPr>
          <w:rFonts w:ascii="Times New Roman" w:hAnsi="Times New Roman" w:eastAsia="Times New Roman"/>
          <w:b w:val="0"/>
          <w:i w:val="0"/>
          <w:sz w:val="22"/>
        </w:rPr>
        <w:t xml:space="preserve">Apache Software Foundation. (n.d.-a). </w:t>
      </w:r>
      <w:r>
        <w:rPr>
          <w:rFonts w:ascii="Times New Roman" w:hAnsi="Times New Roman" w:eastAsia="Times New Roman"/>
          <w:b w:val="0"/>
          <w:i/>
          <w:sz w:val="22"/>
        </w:rPr>
        <w:t>Apache Kafka documentation</w:t>
      </w:r>
      <w:r>
        <w:rPr>
          <w:rFonts w:ascii="Times New Roman" w:hAnsi="Times New Roman" w:eastAsia="Times New Roman"/>
          <w:b w:val="0"/>
          <w:i w:val="0"/>
          <w:sz w:val="22"/>
        </w:rPr>
        <w:t>. https://kafka.apache.org/documentation/</w:t>
      </w:r>
    </w:p>
    <w:p>
      <w:pPr>
        <w:spacing w:line="360" w:lineRule="auto" w:after="120"/>
        <w:ind w:left="461" w:hanging="461"/>
        <w:jc w:val="left"/>
      </w:pPr>
      <w:r>
        <w:rPr>
          <w:rFonts w:ascii="Times New Roman" w:hAnsi="Times New Roman" w:eastAsia="Times New Roman"/>
          <w:b w:val="0"/>
          <w:i w:val="0"/>
          <w:sz w:val="22"/>
        </w:rPr>
        <w:t xml:space="preserve">Apache Software Foundation. (n.d.-b). </w:t>
      </w:r>
      <w:r>
        <w:rPr>
          <w:rFonts w:ascii="Times New Roman" w:hAnsi="Times New Roman" w:eastAsia="Times New Roman"/>
          <w:b w:val="0"/>
          <w:i/>
          <w:sz w:val="22"/>
        </w:rPr>
        <w:t>Structured Streaming programming guide (Apache Spark 3.5.6)</w:t>
      </w:r>
      <w:r>
        <w:rPr>
          <w:rFonts w:ascii="Times New Roman" w:hAnsi="Times New Roman" w:eastAsia="Times New Roman"/>
          <w:b w:val="0"/>
          <w:i w:val="0"/>
          <w:sz w:val="22"/>
        </w:rPr>
        <w:t>. https://spark.apache.org/docs/3.5.6/structured-streaming-programming-guide.html</w:t>
      </w:r>
    </w:p>
    <w:p>
      <w:pPr>
        <w:spacing w:line="360" w:lineRule="auto" w:after="120"/>
        <w:ind w:left="461" w:hanging="461"/>
        <w:jc w:val="left"/>
      </w:pPr>
      <w:r>
        <w:rPr>
          <w:rFonts w:ascii="Times New Roman" w:hAnsi="Times New Roman" w:eastAsia="Times New Roman"/>
          <w:b w:val="0"/>
          <w:i w:val="0"/>
          <w:sz w:val="22"/>
        </w:rPr>
        <w:t xml:space="preserve">Cloudflare. (n.d.). </w:t>
      </w:r>
      <w:r>
        <w:rPr>
          <w:rFonts w:ascii="Times New Roman" w:hAnsi="Times New Roman" w:eastAsia="Times New Roman"/>
          <w:b w:val="0"/>
          <w:i/>
          <w:sz w:val="22"/>
        </w:rPr>
        <w:t>JSON mode</w:t>
      </w:r>
      <w:r>
        <w:rPr>
          <w:rFonts w:ascii="Times New Roman" w:hAnsi="Times New Roman" w:eastAsia="Times New Roman"/>
          <w:b w:val="0"/>
          <w:i w:val="0"/>
          <w:sz w:val="22"/>
        </w:rPr>
        <w:t>. Workers AI documentation. https://developers.cloudflare.com/workers-ai/features/json-mode/</w:t>
      </w:r>
    </w:p>
    <w:p>
      <w:pPr>
        <w:spacing w:line="360" w:lineRule="auto" w:after="120"/>
        <w:ind w:left="461" w:hanging="461"/>
        <w:jc w:val="left"/>
      </w:pPr>
      <w:r>
        <w:rPr>
          <w:rFonts w:ascii="Times New Roman" w:hAnsi="Times New Roman" w:eastAsia="Times New Roman"/>
          <w:b w:val="0"/>
          <w:i w:val="0"/>
          <w:sz w:val="22"/>
        </w:rPr>
        <w:t xml:space="preserve">Google. (n.d.). </w:t>
      </w:r>
      <w:r>
        <w:rPr>
          <w:rFonts w:ascii="Times New Roman" w:hAnsi="Times New Roman" w:eastAsia="Times New Roman"/>
          <w:b w:val="0"/>
          <w:i/>
          <w:sz w:val="22"/>
        </w:rPr>
        <w:t>Structured output</w:t>
      </w:r>
      <w:r>
        <w:rPr>
          <w:rFonts w:ascii="Times New Roman" w:hAnsi="Times New Roman" w:eastAsia="Times New Roman"/>
          <w:b w:val="0"/>
          <w:i w:val="0"/>
          <w:sz w:val="22"/>
        </w:rPr>
        <w:t>. Gemini API documentation. https://ai.google.dev/gemini-api/docs/generate-content/structured-output</w:t>
      </w:r>
    </w:p>
    <w:p>
      <w:pPr>
        <w:spacing w:line="360" w:lineRule="auto" w:after="120"/>
        <w:ind w:left="461" w:hanging="461"/>
        <w:jc w:val="left"/>
      </w:pPr>
      <w:r>
        <w:rPr>
          <w:rFonts w:ascii="Times New Roman" w:hAnsi="Times New Roman" w:eastAsia="Times New Roman"/>
          <w:b w:val="0"/>
          <w:i w:val="0"/>
          <w:sz w:val="22"/>
        </w:rPr>
        <w:t xml:space="preserve">MongoDB. (n.d.). </w:t>
      </w:r>
      <w:r>
        <w:rPr>
          <w:rFonts w:ascii="Times New Roman" w:hAnsi="Times New Roman" w:eastAsia="Times New Roman"/>
          <w:b w:val="0"/>
          <w:i/>
          <w:sz w:val="22"/>
        </w:rPr>
        <w:t>Data modeling</w:t>
      </w:r>
      <w:r>
        <w:rPr>
          <w:rFonts w:ascii="Times New Roman" w:hAnsi="Times New Roman" w:eastAsia="Times New Roman"/>
          <w:b w:val="0"/>
          <w:i w:val="0"/>
          <w:sz w:val="22"/>
        </w:rPr>
        <w:t>. MongoDB Manual. https://www.mongodb.com/docs/manual/data-modeling/</w:t>
      </w:r>
    </w:p>
    <w:p>
      <w:pPr>
        <w:spacing w:line="360" w:lineRule="auto" w:after="120"/>
        <w:ind w:left="461" w:hanging="461"/>
        <w:jc w:val="left"/>
      </w:pPr>
      <w:r>
        <w:rPr>
          <w:rFonts w:ascii="Times New Roman" w:hAnsi="Times New Roman" w:eastAsia="Times New Roman"/>
          <w:b w:val="0"/>
          <w:i w:val="0"/>
          <w:sz w:val="22"/>
        </w:rPr>
        <w:t xml:space="preserve">Pang, B., &amp; Lee, L. (2008). Opinion mining and sentiment analysis. </w:t>
      </w:r>
      <w:r>
        <w:rPr>
          <w:rFonts w:ascii="Times New Roman" w:hAnsi="Times New Roman" w:eastAsia="Times New Roman"/>
          <w:b w:val="0"/>
          <w:i/>
          <w:sz w:val="22"/>
        </w:rPr>
        <w:t>Foundations and Trends in Information Retrieval, 2</w:t>
      </w:r>
      <w:r>
        <w:rPr>
          <w:rFonts w:ascii="Times New Roman" w:hAnsi="Times New Roman" w:eastAsia="Times New Roman"/>
          <w:b w:val="0"/>
          <w:i w:val="0"/>
          <w:sz w:val="22"/>
        </w:rPr>
        <w:t>(1–2), 1–135. https://doi.org/10.1561/1500000011</w:t>
      </w:r>
    </w:p>
    <w:p>
      <w:pPr>
        <w:spacing w:line="360" w:lineRule="auto" w:after="120"/>
        <w:ind w:left="461" w:hanging="461"/>
        <w:jc w:val="left"/>
      </w:pPr>
      <w:r>
        <w:rPr>
          <w:rFonts w:ascii="Times New Roman" w:hAnsi="Times New Roman" w:eastAsia="Times New Roman"/>
          <w:b w:val="0"/>
          <w:i w:val="0"/>
          <w:sz w:val="22"/>
        </w:rPr>
        <w:t xml:space="preserve">RSS Advisory Board. (n.d.). </w:t>
      </w:r>
      <w:r>
        <w:rPr>
          <w:rFonts w:ascii="Times New Roman" w:hAnsi="Times New Roman" w:eastAsia="Times New Roman"/>
          <w:b w:val="0"/>
          <w:i/>
          <w:sz w:val="22"/>
        </w:rPr>
        <w:t>RSS 2.0 specification</w:t>
      </w:r>
      <w:r>
        <w:rPr>
          <w:rFonts w:ascii="Times New Roman" w:hAnsi="Times New Roman" w:eastAsia="Times New Roman"/>
          <w:b w:val="0"/>
          <w:i w:val="0"/>
          <w:sz w:val="22"/>
        </w:rPr>
        <w:t>. https://www.rssboard.org/rss-specification</w:t>
      </w:r>
    </w:p>
    <w:sectPr w:rsidR="00FC693F" w:rsidRPr="0006063C" w:rsidSect="00034616">
      <w:headerReference w:type="default" r:id="rId9"/>
      <w:footerReference w:type="default" r:id="rId10"/>
      <w:pgSz w:w="11906" w:h="16838"/>
      <w:pgMar w:top="1440" w:right="1440" w:bottom="1440" w:left="1440" w:header="648" w:footer="64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rFonts w:ascii="Times New Roman" w:hAnsi="Times New Roman" w:eastAsia="Times New Roman"/>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center"/>
    </w:pPr>
    <w:r>
      <w:rPr>
        <w:rFonts w:ascii="Times New Roman" w:hAnsi="Times New Roman" w:eastAsia="Times New Roman"/>
        <w:sz w:val="18"/>
      </w:rPr>
      <w:t>NEWSROOM PULSE  |  MULTILINGUAL NEWS SENTIMENT MONITORING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line="276" w:lineRule="auto"/>
      <w:outlineLvl w:val="0"/>
    </w:pPr>
    <w:rPr>
      <w:rFonts w:asciiTheme="majorHAnsi" w:eastAsiaTheme="majorEastAsia" w:hAnsiTheme="majorHAnsi" w:cstheme="majorBidi" w:ascii="Times New Roman" w:hAnsi="Times New Roman" w:eastAsia="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40" w:after="100" w:line="276" w:lineRule="auto"/>
      <w:outlineLvl w:val="1"/>
    </w:pPr>
    <w:rPr>
      <w:rFonts w:asciiTheme="majorHAnsi" w:eastAsiaTheme="majorEastAsia" w:hAnsiTheme="majorHAnsi" w:cstheme="majorBidi" w:ascii="Times New Roman" w:hAnsi="Times New Roman" w:eastAsia="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40" w:after="100" w:line="276" w:lineRule="auto"/>
      <w:outlineLvl w:val="2"/>
    </w:pPr>
    <w:rPr>
      <w:rFonts w:asciiTheme="majorHAnsi" w:eastAsiaTheme="majorEastAsia" w:hAnsiTheme="majorHAnsi" w:cstheme="majorBidi" w:ascii="Times New Roman" w:hAnsi="Times New Roman" w:eastAsia="Times New Roman"/>
      <w:b/>
      <w:bCs/>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Newsroom Pulse: A Near-Real-Time Big-Data Architecture for Multilingual News Sentiment Monitoring</dc:title>
  <dc:subject>Academic project report on a news sentiment big-data pipeline</dc:subject>
  <dc:creator>Newsroom Pulse 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