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r>
        <w:t xml:space="preserve"> </w:t>
      </w:r>
      <w:r>
        <w:t xml:space="preserve">dynamics</w:t>
      </w:r>
      <w:r>
        <w:t xml:space="preserve"> </w:t>
      </w:r>
      <w:r>
        <w:t xml:space="preserve">following</w:t>
      </w:r>
      <w:r>
        <w:t xml:space="preserve"> </w:t>
      </w:r>
      <w:r>
        <w:t xml:space="preserve">disturbance</w:t>
      </w:r>
      <w:r>
        <w:t xml:space="preserve"> </w:t>
      </w:r>
      <w:r>
        <w:t xml:space="preserve">in</w:t>
      </w:r>
      <w:r>
        <w:t xml:space="preserve"> </w:t>
      </w:r>
      <w:r>
        <w:t xml:space="preserve">a</w:t>
      </w:r>
      <w:r>
        <w:t xml:space="preserve"> </w:t>
      </w:r>
      <w:r>
        <w:t xml:space="preserve">rare</w:t>
      </w:r>
      <w:r>
        <w:t xml:space="preserve"> </w:t>
      </w:r>
      <w:r>
        <w:t xml:space="preserve">ecosystem</w:t>
      </w:r>
      <w:r>
        <w:t xml:space="preserve"> </w:t>
      </w:r>
      <w:r>
        <w:t xml:space="preserve">subtype</w:t>
      </w:r>
      <w:r>
        <w:t xml:space="preserve"> </w:t>
      </w:r>
      <w:r>
        <w:t xml:space="preserve">-</w:t>
      </w:r>
      <w:r>
        <w:t xml:space="preserve"> </w:t>
      </w:r>
      <w:r>
        <w:t xml:space="preserve">grassy</w:t>
      </w:r>
      <w:r>
        <w:t xml:space="preserve"> </w:t>
      </w:r>
      <w:r>
        <w:t xml:space="preserve">bald</w:t>
      </w:r>
      <w:r>
        <w:t xml:space="preserve"> </w:t>
      </w:r>
      <w:r>
        <w:t xml:space="preserve">-</w:t>
      </w:r>
      <w:r>
        <w:t xml:space="preserve"> </w:t>
      </w:r>
      <w:r>
        <w:t xml:space="preserve">and</w:t>
      </w:r>
      <w:r>
        <w:t xml:space="preserve"> </w:t>
      </w:r>
      <w:r>
        <w:t xml:space="preserve">implications</w:t>
      </w:r>
      <w:r>
        <w:t xml:space="preserve"> </w:t>
      </w:r>
      <w:r>
        <w:t xml:space="preserve">for</w:t>
      </w:r>
      <w:r>
        <w:t xml:space="preserve"> </w:t>
      </w:r>
      <w:r>
        <w:t xml:space="preserve">conservation</w:t>
      </w:r>
      <w:r>
        <w:t xml:space="preserve"> </w:t>
      </w:r>
      <w:r>
        <w:t xml:space="preserve">of</w:t>
      </w:r>
      <w:r>
        <w:t xml:space="preserve"> </w:t>
      </w:r>
      <w:r>
        <w:t xml:space="preserve">Round</w:t>
      </w:r>
      <w:r>
        <w:t xml:space="preserve"> </w:t>
      </w:r>
      <w:r>
        <w:t xml:space="preserve">Bald</w:t>
      </w:r>
    </w:p>
    <w:p>
      <w:pPr>
        <w:pStyle w:val="Subtitle"/>
      </w:pPr>
      <w:r>
        <w:t xml:space="preserve">Master’s</w:t>
      </w:r>
      <w:r>
        <w:t xml:space="preserve"> </w:t>
      </w:r>
      <w:r>
        <w:t xml:space="preserve">student</w:t>
      </w:r>
      <w:r>
        <w:t xml:space="preserve"> </w:t>
      </w:r>
      <w:r>
        <w:t xml:space="preserve">thesis</w:t>
      </w:r>
      <w:r>
        <w:t xml:space="preserve"> </w:t>
      </w:r>
      <w:r>
        <w:t xml:space="preserve">proposal</w:t>
      </w:r>
      <w:r>
        <w:t xml:space="preserve"> </w:t>
      </w:r>
      <w:r>
        <w:t xml:space="preserve">for</w:t>
      </w:r>
      <w:r>
        <w:t xml:space="preserve"> </w:t>
      </w:r>
      <w:r>
        <w:t xml:space="preserve">Western</w:t>
      </w:r>
      <w:r>
        <w:t xml:space="preserve"> </w:t>
      </w:r>
      <w:r>
        <w:t xml:space="preserve">Carolina</w:t>
      </w:r>
      <w:r>
        <w:t xml:space="preserve"> </w:t>
      </w:r>
      <w:r>
        <w:t xml:space="preserve">Universtiy</w:t>
      </w:r>
    </w:p>
    <w:p>
      <w:pPr>
        <w:pStyle w:val="Author"/>
      </w:pPr>
      <w:r>
        <w:t xml:space="preserve">J.</w:t>
      </w:r>
      <w:r>
        <w:t xml:space="preserve"> </w:t>
      </w:r>
      <w:r>
        <w:t xml:space="preserve">Ted</w:t>
      </w:r>
      <w:r>
        <w:t xml:space="preserve"> </w:t>
      </w:r>
      <w:r>
        <w:t xml:space="preserve">Hillert</w:t>
      </w:r>
    </w:p>
    <w:bookmarkStart w:id="25" w:name="introduction"/>
    <w:p>
      <w:pPr>
        <w:pStyle w:val="Heading1"/>
      </w:pPr>
      <w:r>
        <w:t xml:space="preserve">INTRODUCTION</w:t>
      </w:r>
    </w:p>
    <w:bookmarkStart w:id="20" w:name="history"/>
    <w:p>
      <w:pPr>
        <w:pStyle w:val="Heading3"/>
      </w:pPr>
      <w:r>
        <w:t xml:space="preserve">History</w:t>
      </w:r>
    </w:p>
    <w:p>
      <w:pPr>
        <w:pStyle w:val="FirstParagraph"/>
      </w:pPr>
      <w:r>
        <w:t xml:space="preserve">Upper montane treeless meadows - balds - host high floral diversity, panoramic views of the landscape, and origins hotly debated to this day</w:t>
      </w:r>
      <w:r>
        <w:t xml:space="preserve"> </w:t>
      </w:r>
      <w:r>
        <w:t xml:space="preserve">(Gersmehl 1970, Murdock 1986, Hamel and Somers 1990)</w:t>
      </w:r>
      <w:r>
        <w:t xml:space="preserve">. Many speculate that balds were cleared by early settlers for pasturing livestock in the spring and summer seasons</w:t>
      </w:r>
      <w:r>
        <w:t xml:space="preserve"> </w:t>
      </w:r>
      <w:r>
        <w:t xml:space="preserve">(Lindsay and Bratton 1979b)</w:t>
      </w:r>
      <w:r>
        <w:t xml:space="preserve"> </w:t>
      </w:r>
      <w:r>
        <w:t xml:space="preserve">- anthropogenic origin. Others believe that they are of a</w:t>
      </w:r>
      <w:r>
        <w:t xml:space="preserve"> </w:t>
      </w:r>
      <w:r>
        <w:t xml:space="preserve">“</w:t>
      </w:r>
      <w:r>
        <w:t xml:space="preserve">climate-herbivore</w:t>
      </w:r>
      <w:r>
        <w:t xml:space="preserve">”</w:t>
      </w:r>
      <w:r>
        <w:t xml:space="preserve"> </w:t>
      </w:r>
      <w:r>
        <w:t xml:space="preserve">driven change in the landscape, making it a natural ecosystem</w:t>
      </w:r>
      <w:r>
        <w:t xml:space="preserve"> </w:t>
      </w:r>
      <w:r>
        <w:t xml:space="preserve">(Weigl and Knowles 1995, 2014)</w:t>
      </w:r>
      <w:r>
        <w:t xml:space="preserve">. True balds are above 1,400 meters in elevation, while any bald can exist on a rock outcrop above 1,200 meters in elevation</w:t>
      </w:r>
      <w:r>
        <w:t xml:space="preserve"> </w:t>
      </w:r>
      <w:r>
        <w:t xml:space="preserve">(Gersmehl 1970)</w:t>
      </w:r>
      <w:r>
        <w:t xml:space="preserve">. Furthermore, true balds occur only in the Southern Blue Ridge Physiographic Province, other balds - apparent balds - are distributed globally with sites in Siberia and Australia, among others. There has been much in the way of</w:t>
      </w:r>
      <w:r>
        <w:t xml:space="preserve"> </w:t>
      </w:r>
      <w:r>
        <w:t xml:space="preserve">“</w:t>
      </w:r>
      <w:r>
        <w:t xml:space="preserve">bald history</w:t>
      </w:r>
      <w:r>
        <w:t xml:space="preserve">”</w:t>
      </w:r>
      <w:r>
        <w:t xml:space="preserve"> </w:t>
      </w:r>
      <w:r>
        <w:t xml:space="preserve">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w:t>
      </w:r>
      <w:r>
        <w:t xml:space="preserve"> </w:t>
      </w:r>
      <w:r>
        <w:t xml:space="preserve">(Lindsay and Bratton 1979b, Weigl and Knowles 1995, 2014)</w:t>
      </w:r>
      <w:r>
        <w:t xml:space="preserve">. Separating bald origins and subtype vegetation dynamics is key to preserving these dwindling ecosystems and conserving them for future generations</w:t>
      </w:r>
      <w:r>
        <w:t xml:space="preserve"> </w:t>
      </w:r>
      <w:r>
        <w:t xml:space="preserve">(Moravek et al. 2013)</w:t>
      </w:r>
      <w:r>
        <w:t xml:space="preserve">. Within the mindset of a landscape ecologist, the POV is all about differences in scale and size. Here, I examined changes to Round bald at the plot level scale to determine change in the vegetation community following a low-intensity ground fire disturbance from February 2022 which burned approximately 9.7 hectares.</w:t>
      </w:r>
      <w:r>
        <w:t xml:space="preserve"> </w:t>
      </w:r>
      <w:r>
        <w:t xml:space="preserve">Stokes and Horton (2022)</w:t>
      </w:r>
      <w:r>
        <w:t xml:space="preserve"> </w:t>
      </w:r>
      <w:r>
        <w:t xml:space="preserve">examined the vegetation composition following 30 years of mowing management</w:t>
      </w:r>
      <w:r>
        <w:t xml:space="preserve"> </w:t>
      </w:r>
      <w:r>
        <w:t xml:space="preserve">(Murdock 1986, Hamel and Somers 1990)</w:t>
      </w:r>
      <w:r>
        <w:t xml:space="preserve"> </w:t>
      </w:r>
      <w:r>
        <w:t xml:space="preserve">on the balds of Carver’s Gap.</w:t>
      </w:r>
    </w:p>
    <w:bookmarkEnd w:id="20"/>
    <w:bookmarkStart w:id="21" w:name="soil-seed-bank"/>
    <w:p>
      <w:pPr>
        <w:pStyle w:val="Heading3"/>
      </w:pPr>
      <w:r>
        <w:t xml:space="preserve">Soil Seed bank</w:t>
      </w:r>
    </w:p>
    <w:bookmarkEnd w:id="21"/>
    <w:bookmarkStart w:id="22" w:name="woody-encroachment"/>
    <w:p>
      <w:pPr>
        <w:pStyle w:val="Heading3"/>
      </w:pPr>
      <w:r>
        <w:t xml:space="preserve">Woody Encroachment</w:t>
      </w:r>
    </w:p>
    <w:p>
      <w:pPr>
        <w:pStyle w:val="FirstParagraph"/>
      </w:pPr>
      <w:r>
        <w:t xml:space="preserve">The United States Forest Service (USFS) acquired some of the Southern Appalachian bald lands in the late 1920s after which, active management and general recreation ceased</w:t>
      </w:r>
      <w:r>
        <w:t xml:space="preserve"> </w:t>
      </w:r>
      <w:r>
        <w:t xml:space="preserve">(Lindsay and Bratton 1979b)</w:t>
      </w:r>
      <w:r>
        <w:t xml:space="preserve">. This led to shrub succession in the late 1930s and a management problem in the 1950s</w:t>
      </w:r>
      <w:r>
        <w:t xml:space="preserve"> </w:t>
      </w:r>
      <w:r>
        <w:t xml:space="preserve">(Lindsay and Bratton 1979a, 1979b, Lindsay and Bratton 1980)</w:t>
      </w:r>
      <w:r>
        <w:t xml:space="preserve">. Despite the shrub succession of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decreased by</w:t>
      </w:r>
      <w:r>
        <w:t xml:space="preserve"> </w:t>
      </w:r>
      <w:r>
        <w:rPr>
          <w:iCs/>
          <w:i/>
        </w:rPr>
        <w:t xml:space="preserve">[find approx %]</w:t>
      </w:r>
      <w:r>
        <w:t xml:space="preserve"> </w:t>
      </w:r>
      <w:r>
        <w:t xml:space="preserve">since a study</w:t>
      </w:r>
      <w:r>
        <w:t xml:space="preserve"> </w:t>
      </w:r>
      <w:r>
        <w:t xml:space="preserve">Murdock (1986)</w:t>
      </w:r>
      <w:r>
        <w:t xml:space="preserve">, who had surveyed round balds in the 1980s. A repeated survey of the balds of Carver’s Gap in 2020 by</w:t>
      </w:r>
      <w:r>
        <w:t xml:space="preserve"> </w:t>
      </w:r>
      <w:r>
        <w:t xml:space="preserve">Stokes and Horton (2022)</w:t>
      </w:r>
      <w:r>
        <w:t xml:space="preserve">, revealed a [</w:t>
      </w:r>
      <w:r>
        <w:rPr>
          <w:iCs/>
          <w:i/>
        </w:rPr>
        <w:t xml:space="preserve">find % dec/inc</w:t>
      </w:r>
      <w:r>
        <w:t xml:space="preserve">] in the cover of</w:t>
      </w:r>
      <w:r>
        <w:t xml:space="preserve"> </w:t>
      </w:r>
      <w:r>
        <w:rPr>
          <w:iCs/>
          <w:i/>
        </w:rPr>
        <w:t xml:space="preserve">Rubus allegheniensis</w:t>
      </w:r>
      <w:r>
        <w:t xml:space="preserve"> </w:t>
      </w:r>
      <w:r>
        <w:t xml:space="preserve">and</w:t>
      </w:r>
      <w:r>
        <w:t xml:space="preserve"> </w:t>
      </w:r>
      <w:r>
        <w:rPr>
          <w:iCs/>
          <w:i/>
        </w:rPr>
        <w:t xml:space="preserve">Rubus canadensis</w:t>
      </w:r>
      <w:r>
        <w:t xml:space="preserve"> </w:t>
      </w:r>
      <w:r>
        <w:t xml:space="preserve">(</w:t>
      </w:r>
      <w:r>
        <w:rPr>
          <w:iCs/>
          <w:i/>
        </w:rPr>
        <w:t xml:space="preserve">Rubus</w:t>
      </w:r>
      <w:r>
        <w:t xml:space="preserve">)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bookmarkEnd w:id="22"/>
    <w:bookmarkStart w:id="23" w:name="managment-practices"/>
    <w:p>
      <w:pPr>
        <w:pStyle w:val="Heading3"/>
      </w:pPr>
      <w:r>
        <w:t xml:space="preserve">Managment Practices</w:t>
      </w:r>
    </w:p>
    <w:p>
      <w:pPr>
        <w:pStyle w:val="FirstParagraph"/>
      </w:pPr>
      <w:r>
        <w:t xml:space="preserve">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w:t>
      </w:r>
      <w:r>
        <w:t xml:space="preserve"> </w:t>
      </w:r>
      <w:r>
        <w:t xml:space="preserve">(Lindsay and Bratton 1980)</w:t>
      </w:r>
      <w:r>
        <w:t xml:space="preserve">. Germination requirements of the invasive genus</w:t>
      </w:r>
      <w:r>
        <w:t xml:space="preserve"> </w:t>
      </w:r>
      <w:r>
        <w:rPr>
          <w:iCs/>
          <w:i/>
        </w:rPr>
        <w:t xml:space="preserve">Rubus</w:t>
      </w:r>
      <w:r>
        <w:t xml:space="preserve"> </w:t>
      </w:r>
      <w:r>
        <w:t xml:space="preserve">include scarification - some damage to the seed has to occur</w:t>
      </w:r>
      <w:r>
        <w:t xml:space="preserve"> </w:t>
      </w:r>
      <w:r>
        <w:t xml:space="preserve">(Davies 1998)</w:t>
      </w:r>
      <w:r>
        <w:t xml:space="preserve"> </w:t>
      </w:r>
      <w:r>
        <w:t xml:space="preserve">-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w:t>
      </w:r>
      <w:r>
        <w:t xml:space="preserve"> </w:t>
      </w:r>
      <w:r>
        <w:t xml:space="preserve">(Lindsay and Bratton 1980)</w:t>
      </w:r>
      <w:r>
        <w:t xml:space="preserve">. Likewise, prescribed burns are difficult to manage at such high elevations, soil moisture levels, and effects on rare and endemic species of historic balds.</w:t>
      </w:r>
    </w:p>
    <w:bookmarkEnd w:id="23"/>
    <w:bookmarkStart w:id="24" w:name="round-bald"/>
    <w:p>
      <w:pPr>
        <w:pStyle w:val="Heading3"/>
      </w:pPr>
      <w:r>
        <w:t xml:space="preserve">Round Bald</w:t>
      </w:r>
    </w:p>
    <w:p>
      <w:pPr>
        <w:pStyle w:val="FirstParagraph"/>
      </w:pPr>
      <w:r>
        <w:t xml:space="preserve">Round bald - located on the borders of North Carolina and Tennessee along the Appalachian Trail about 20 miles North of Bakersville, NC - is experiencing woody encroachment from invasive species like</w:t>
      </w:r>
      <w:r>
        <w:t xml:space="preserve"> </w:t>
      </w:r>
      <w:r>
        <w:rPr>
          <w:iCs/>
          <w:i/>
        </w:rPr>
        <w:t xml:space="preserve">Rubus allegheniensis</w:t>
      </w:r>
      <w:r>
        <w:t xml:space="preserve">,</w:t>
      </w:r>
      <w:r>
        <w:t xml:space="preserve"> </w:t>
      </w:r>
      <w:r>
        <w:rPr>
          <w:iCs/>
          <w:i/>
        </w:rPr>
        <w:t xml:space="preserve">Rubus canadensis</w:t>
      </w:r>
      <w:r>
        <w:t xml:space="preserve">,</w:t>
      </w:r>
      <w:r>
        <w:t xml:space="preserve"> </w:t>
      </w:r>
      <w:r>
        <w:rPr>
          <w:iCs/>
          <w:i/>
        </w:rPr>
        <w:t xml:space="preserve">Vaccinium spp.</w:t>
      </w:r>
      <w:r>
        <w:t xml:space="preserve">,</w:t>
      </w:r>
      <w:r>
        <w:t xml:space="preserve"> </w:t>
      </w:r>
      <w:r>
        <w:rPr>
          <w:iCs/>
          <w:i/>
        </w:rPr>
        <w:t xml:space="preserve">Rhododendrom spp.</w:t>
      </w:r>
      <w:r>
        <w:t xml:space="preserve"> </w:t>
      </w:r>
      <w:r>
        <w:t xml:space="preserve">and saplings from the surrounding spruce-fir forest. These species alter the bald by converting it from a grass bald into an ericaceous-heath bald and potentially extirpating a rare ecosystem subtype that provides panoramic vista views of the adjacent mountaintops and a number of rare and endemic species, such as -</w:t>
      </w:r>
      <w:r>
        <w:t xml:space="preserve"> </w:t>
      </w:r>
      <w:r>
        <w:t xml:space="preserve">“</w:t>
      </w:r>
      <w:r>
        <w:t xml:space="preserve">Roan Lily</w:t>
      </w:r>
      <w:r>
        <w:t xml:space="preserve">”</w:t>
      </w:r>
      <w:r>
        <w:t xml:space="preserve"> </w:t>
      </w:r>
      <w:r>
        <w:rPr>
          <w:iCs/>
          <w:i/>
        </w:rPr>
        <w:t xml:space="preserve">Lilium grayi</w:t>
      </w:r>
      <w:r>
        <w:t xml:space="preserve">. Nearly 40 years ago,</w:t>
      </w:r>
      <w:r>
        <w:t xml:space="preserve"> </w:t>
      </w:r>
      <w:r>
        <w:t xml:space="preserve">Murdock (1986)</w:t>
      </w:r>
      <w:r>
        <w:t xml:space="preserve"> </w:t>
      </w:r>
      <w:r>
        <w:t xml:space="preserve">and</w:t>
      </w:r>
      <w:r>
        <w:t xml:space="preserve"> </w:t>
      </w:r>
      <w:r>
        <w:t xml:space="preserve">Hamel and Somers (1990)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Stokes and Horton (2022)</w:t>
      </w:r>
      <w:r>
        <w:t xml:space="preserve"> </w:t>
      </w:r>
      <w:r>
        <w:t xml:space="preserve">re-surveyed plots from</w:t>
      </w:r>
      <w:r>
        <w:t xml:space="preserve"> </w:t>
      </w:r>
      <w:r>
        <w:t xml:space="preserve">Murdock (1986)</w:t>
      </w:r>
      <w:r>
        <w:t xml:space="preserve"> </w:t>
      </w:r>
      <w:r>
        <w:t xml:space="preserve">and</w:t>
      </w:r>
      <w:r>
        <w:t xml:space="preserve"> </w:t>
      </w:r>
      <w:r>
        <w:t xml:space="preserve">Hamel and Somers (1990)</w:t>
      </w:r>
      <w:r>
        <w:t xml:space="preserve">. In February of 2022, there was a low-intensity ground fire that burned for less than 6 hours</w:t>
      </w:r>
      <w:r>
        <w:t xml:space="preserve"> </w:t>
      </w:r>
      <w:r>
        <w:rPr>
          <w:iCs/>
          <w:i/>
        </w:rPr>
        <w:t xml:space="preserve">[according to the news article</w:t>
      </w:r>
      <w:r>
        <w:rPr>
          <w:iCs/>
          <w:i/>
        </w:rPr>
        <w:t xml:space="preserve"> </w:t>
      </w:r>
      <w:r>
        <w:rPr>
          <w:bCs/>
          <w:b/>
          <w:iCs/>
          <w:i/>
        </w:rPr>
        <w:t xml:space="preserve">need to contact NPS for more detail</w:t>
      </w:r>
      <w:r>
        <w:rPr>
          <w:iCs/>
          <w:i/>
        </w:rPr>
        <w:t xml:space="preserve">]</w:t>
      </w:r>
      <w:r>
        <w:t xml:space="preserve"> </w:t>
      </w:r>
      <w:r>
        <w:t xml:space="preserve">and burned approximately 9.7 hectares of Round Bald. Roughly half of the plots that</w:t>
      </w:r>
      <w:r>
        <w:t xml:space="preserve"> </w:t>
      </w:r>
      <w:r>
        <w:t xml:space="preserve">Stokes and Horton (2022)</w:t>
      </w:r>
      <w:r>
        <w:t xml:space="preserve"> </w:t>
      </w:r>
      <w:r>
        <w:t xml:space="preserve">surveyed on Round Bald were within the fire and the other half was outside of the fire boundary.</w:t>
      </w:r>
    </w:p>
    <w:p>
      <w:pPr>
        <w:pStyle w:val="BodyText"/>
      </w:pPr>
      <w:r>
        <w:rPr>
          <w:iCs/>
          <w:i/>
        </w:rPr>
        <w:t xml:space="preserve">In the January of 2023, we took a second soil seed bank sample and placed them in the fridge until Spring. In the Summer of 2023, we plan to do a repeat survey of the 95 plots from the previous season - 2022.[moove]</w:t>
      </w:r>
    </w:p>
    <w:bookmarkEnd w:id="24"/>
    <w:bookmarkEnd w:id="25"/>
    <w:bookmarkStart w:id="26" w:name="objectives"/>
    <w:p>
      <w:pPr>
        <w:pStyle w:val="Heading1"/>
      </w:pPr>
      <w:r>
        <w:t xml:space="preserve">OBJECTIVES</w:t>
      </w:r>
    </w:p>
    <w:p>
      <w:pPr>
        <w:pStyle w:val="FirstParagraph"/>
      </w:pPr>
      <w:r>
        <w:t xml:space="preserve">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w:t>
      </w:r>
      <w:r>
        <w:t xml:space="preserve"> </w:t>
      </w:r>
      <w:r>
        <w:rPr>
          <w:iCs/>
          <w:i/>
        </w:rPr>
        <w:t xml:space="preserve">Rubus spp.</w:t>
      </w:r>
      <w:r>
        <w:t xml:space="preserve">, likely there will be a slight increase in blackberry cover following slight scarification from the ground fire.</w:t>
      </w:r>
    </w:p>
    <w:bookmarkEnd w:id="26"/>
    <w:bookmarkStart w:id="35" w:name="methods"/>
    <w:p>
      <w:pPr>
        <w:pStyle w:val="Heading1"/>
      </w:pPr>
      <w:r>
        <w:t xml:space="preserve">METHODS</w:t>
      </w:r>
    </w:p>
    <w:bookmarkStart w:id="30" w:name="section"/>
    <w:p>
      <w:pPr>
        <w:pStyle w:val="Heading2"/>
      </w:pPr>
      <w:r>
        <w:t xml:space="preserve">2022</w:t>
      </w:r>
    </w:p>
    <w:bookmarkStart w:id="27"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w:t>
      </w:r>
      <w:r>
        <w:t xml:space="preserve"> </w:t>
      </w:r>
      <w:r>
        <w:t xml:space="preserve">Stokes and Horton (2022)</w:t>
      </w:r>
      <w:r>
        <w:t xml:space="preserve"> </w:t>
      </w:r>
      <w:r>
        <w:t xml:space="preserve">surveyed the balds of Carver’s Gap following a 30-year mowing management protocol from</w:t>
      </w:r>
      <w:r>
        <w:t xml:space="preserve"> </w:t>
      </w:r>
      <w:r>
        <w:t xml:space="preserve">Hamel and Somers (1990)</w:t>
      </w:r>
      <w:r>
        <w:t xml:space="preserve"> </w:t>
      </w:r>
      <w:r>
        <w:t xml:space="preserve">and</w:t>
      </w:r>
      <w:r>
        <w:t xml:space="preserve"> </w:t>
      </w:r>
      <w:r>
        <w:t xml:space="preserve">Murdock (1986)</w:t>
      </w:r>
      <w:r>
        <w:t xml:space="preserve">. They detailed the vegetation composition of the balds according to vegetation type. Their data was entered into</w:t>
      </w:r>
      <w:r>
        <w:t xml:space="preserve"> </w:t>
      </w:r>
      <w:r>
        <w:t xml:space="preserve">(McCune and Medfford 2016)</w:t>
      </w:r>
      <w:r>
        <w:t xml:space="preserve"> </w:t>
      </w:r>
      <w:r>
        <w:t xml:space="preserve">and produced a schematic of the vegetation communities across the balds of Carver’s Gap. In February 2022, a low-intensity ground fire burned roughly 9.7 hectares of aboveground vegetation but was quickly expunged before it could spread further. This provided an opportunity to examine the changes in vegetation composition following low-intensity ground fire over two sampling seasons in June of 2022 and 2023.</w:t>
      </w:r>
    </w:p>
    <w:bookmarkEnd w:id="27"/>
    <w:bookmarkStart w:id="28" w:name="field-methods"/>
    <w:p>
      <w:pPr>
        <w:pStyle w:val="Heading3"/>
      </w:pPr>
      <w:r>
        <w:t xml:space="preserve">Field Methods</w:t>
      </w:r>
    </w:p>
    <w:p>
      <w:pPr>
        <w:pStyle w:val="FirstParagraph"/>
      </w:pPr>
      <w:r>
        <w:t xml:space="preserve">In this study I sampled the first four transects reestablished by</w:t>
      </w:r>
      <w:r>
        <w:t xml:space="preserve"> </w:t>
      </w:r>
      <w:r>
        <w:t xml:space="preserve">Stokes and Horton (2022)</w:t>
      </w:r>
      <w:r>
        <w:t xml:space="preserve">. I measured the percent coverage of vegetation using a 1-m^2 PVC quadrat divided into 100 equal sized squares, following</w:t>
      </w:r>
      <w:r>
        <w:t xml:space="preserve"> </w:t>
      </w:r>
      <w:r>
        <w:t xml:space="preserve">Stokes and Horton (2022)</w:t>
      </w:r>
      <w:r>
        <w:t xml:space="preserve">. Each square was visually assigned by dominant vegetation type to equal 100% coverage per plot of aboveground vegetation up to 1-meter in height. Using the data collection sheet from</w:t>
      </w:r>
      <w:r>
        <w:t xml:space="preserve"> </w:t>
      </w:r>
      <w:r>
        <w:t xml:space="preserve">Stokes and Horton (2022)</w:t>
      </w:r>
      <w:r>
        <w:t xml:space="preserve"> </w:t>
      </w:r>
      <w:r>
        <w:t xml:space="preserve">and USFS botanist Gary Kauffman - which quantifies vegetation based on focal types - a total of 226 plots along 12 transects were sampled in 2020, of these, 52 plots along the first four transects were in the February 2022 fire and another 47 plots along the same transects were untouched by the fire.</w:t>
      </w:r>
    </w:p>
    <w:bookmarkEnd w:id="28"/>
    <w:bookmarkStart w:id="29" w:name="greenhouse"/>
    <w:p>
      <w:pPr>
        <w:pStyle w:val="Heading3"/>
      </w:pPr>
      <w:r>
        <w:t xml:space="preserve">Greenhouse</w:t>
      </w:r>
    </w:p>
    <w:p>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w:t>
      </w:r>
      <w:r>
        <w:t xml:space="preserve"> </w:t>
      </w:r>
      <w:r>
        <w:rPr>
          <w:iCs/>
          <w:i/>
        </w:rPr>
        <w:t xml:space="preserve">Rubus</w:t>
      </w:r>
      <w:r>
        <w:t xml:space="preserve">/burned, over 50%</w:t>
      </w:r>
      <w:r>
        <w:t xml:space="preserve"> </w:t>
      </w:r>
      <w:r>
        <w:rPr>
          <w:iCs/>
          <w:i/>
        </w:rPr>
        <w:t xml:space="preserve">Rubus</w:t>
      </w:r>
      <w:r>
        <w:t xml:space="preserve">/unburned, under 25%</w:t>
      </w:r>
      <w:r>
        <w:t xml:space="preserve"> </w:t>
      </w:r>
      <w:r>
        <w:rPr>
          <w:iCs/>
          <w:i/>
        </w:rPr>
        <w:t xml:space="preserve">Rubus</w:t>
      </w:r>
      <w:r>
        <w:t xml:space="preserve">/burned, under 25%</w:t>
      </w:r>
      <w:r>
        <w:t xml:space="preserve"> </w:t>
      </w:r>
      <w:r>
        <w:rPr>
          <w:iCs/>
          <w:i/>
        </w:rPr>
        <w:t xml:space="preserve">Rubus</w:t>
      </w:r>
      <w:r>
        <w:t xml:space="preserve">/unburned. The first - over 50%</w:t>
      </w:r>
      <w:r>
        <w:t xml:space="preserve"> </w:t>
      </w:r>
      <w:r>
        <w:rPr>
          <w:iCs/>
          <w:i/>
        </w:rPr>
        <w:t xml:space="preserve">Rubus</w:t>
      </w:r>
      <w:r>
        <w:t xml:space="preserve">/burned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and placed in 11x8.5 inch seedling trays filled with potting mix to 5 cm depth. An additional six trays only filled with potting mix acted as greenhouse controls to rule out contamination. Trays were randomly set in the greenhouse at ambient temperature and humidity and measured continuously with a Govee probe. As seedlings emerge they will be identified, recorded, and removed. The seedlings that cannot be identified will be re-potted until identifiable following</w:t>
      </w:r>
      <w:r>
        <w:t xml:space="preserve"> </w:t>
      </w:r>
      <w:r>
        <w:t xml:space="preserve">Price et al. (2010)</w:t>
      </w:r>
      <w:r>
        <w:t xml:space="preserve">. Each month the trays were rotated in random order to rule out growth condition bias. In December of 2022, soil sample trays were placed outside to simulate winter conditions and potentially germinate seeds in the seed bank</w:t>
      </w:r>
      <w:r>
        <w:t xml:space="preserve"> </w:t>
      </w:r>
      <w:r>
        <w:rPr>
          <w:iCs/>
          <w:i/>
        </w:rPr>
        <w:t xml:space="preserve">[Unfortunately, They were placed in a poor position and the weather washed out 1/2 the dirt from 1/3 of the trays, then froze. I have since readjusted them and covered them for safety. Maybe it’s salvageable?]</w:t>
      </w:r>
      <w:r>
        <w:t xml:space="preserve">. A second soil sample following the same protocol will be conducted in March of 2023. These samples will examine what is readily germinable following natural winter weathering and be compared to the first seed bank set to examine post burn germinable</w:t>
      </w:r>
      <w:r>
        <w:t xml:space="preserve"> </w:t>
      </w:r>
      <w:r>
        <w:rPr>
          <w:iCs/>
          <w:i/>
        </w:rPr>
        <w:t xml:space="preserve">[wrong word?]</w:t>
      </w:r>
      <w:r>
        <w:t xml:space="preserve"> </w:t>
      </w:r>
      <w:r>
        <w:t xml:space="preserve">seeds versus post winter germinable seeds.</w:t>
      </w:r>
    </w:p>
    <w:bookmarkEnd w:id="29"/>
    <w:bookmarkEnd w:id="30"/>
    <w:bookmarkStart w:id="34" w:name="section-1"/>
    <w:p>
      <w:pPr>
        <w:pStyle w:val="Heading2"/>
      </w:pPr>
      <w:r>
        <w:t xml:space="preserve">2023</w:t>
      </w:r>
    </w:p>
    <w:bookmarkStart w:id="31" w:name="field-methods-1"/>
    <w:p>
      <w:pPr>
        <w:pStyle w:val="Heading3"/>
      </w:pPr>
      <w:r>
        <w:t xml:space="preserve">Field Methods</w:t>
      </w:r>
    </w:p>
    <w:p>
      <w:pPr>
        <w:pStyle w:val="FirstParagraph"/>
      </w:pPr>
      <w:r>
        <w:t xml:space="preserve">In the summer of 2023 I plan to repeat surveys of the first four transects and a repeat soil seed bank sample. In 2022, soil emergence was utilized for the sake of time and I plan to add a modified soil extraction method from</w:t>
      </w:r>
      <w:r>
        <w:t xml:space="preserve"> </w:t>
      </w:r>
      <w:r>
        <w:t xml:space="preserve">Price et al. (2010)</w:t>
      </w:r>
      <w:r>
        <w:t xml:space="preserve">,</w:t>
      </w:r>
      <w:r>
        <w:t xml:space="preserve"> </w:t>
      </w:r>
      <w:r>
        <w:t xml:space="preserve">Abella et al. (2013)</w:t>
      </w:r>
      <w:r>
        <w:t xml:space="preserve">, and</w:t>
      </w:r>
      <w:r>
        <w:t xml:space="preserve"> </w:t>
      </w:r>
      <w:r>
        <w:t xml:space="preserve">Chiquoine and Abella (2018)</w:t>
      </w:r>
      <w:r>
        <w:t xml:space="preserve">. These authors identify that both methods can provide insight into the vegetation community, but a combination of the two provides a more robust estimate of the state of the seed bank. The second method to the soil seed bank analysis will fractionate the samples into field control, greenhouse control, burned, and unburned. These samples will be exposed to two levels of light, humidity, soil moisture, and temperature to examine the germination requirements of seeds in the seed bank. This should make it more comparable to the current vegetation structure and speculate on the future composition of Round Bald as a result of mowing management.</w:t>
      </w:r>
    </w:p>
    <w:bookmarkEnd w:id="31"/>
    <w:bookmarkStart w:id="32" w:name="analysis"/>
    <w:p>
      <w:pPr>
        <w:pStyle w:val="Heading3"/>
      </w:pPr>
      <w:r>
        <w:t xml:space="preserve">Analysis</w:t>
      </w:r>
    </w:p>
    <w:bookmarkEnd w:id="32"/>
    <w:bookmarkStart w:id="33" w:name="expected-outcomes"/>
    <w:p>
      <w:pPr>
        <w:pStyle w:val="Heading3"/>
      </w:pPr>
      <w:r>
        <w:t xml:space="preserve">Expected Outcomes</w:t>
      </w:r>
    </w:p>
    <w:bookmarkEnd w:id="33"/>
    <w:bookmarkEnd w:id="34"/>
    <w:bookmarkEnd w:id="35"/>
    <w:bookmarkStart w:id="62" w:name="references"/>
    <w:p>
      <w:pPr>
        <w:pStyle w:val="Heading1"/>
      </w:pPr>
      <w:r>
        <w:t xml:space="preserve">References</w:t>
      </w:r>
    </w:p>
    <w:bookmarkStart w:id="61" w:name="refs"/>
    <w:bookmarkStart w:id="37" w:name="ref-abel2013"/>
    <w:p>
      <w:pPr>
        <w:pStyle w:val="Bibliography"/>
      </w:pPr>
      <w:r>
        <w:t xml:space="preserve">Abella, S. R., L. P. Chiquoine, and C. H. Vanier. 2013.</w:t>
      </w:r>
      <w:r>
        <w:t xml:space="preserve"> </w:t>
      </w:r>
      <w:hyperlink r:id="rId36">
        <w:r>
          <w:rPr>
            <w:rStyle w:val="Hyperlink"/>
          </w:rPr>
          <w:t xml:space="preserve">Characterizing soil seed banks and relationships to plant communities</w:t>
        </w:r>
      </w:hyperlink>
      <w:r>
        <w:t xml:space="preserve">. Plant Ecology 214:703–715.</w:t>
      </w:r>
    </w:p>
    <w:bookmarkEnd w:id="37"/>
    <w:bookmarkStart w:id="39" w:name="ref-chiq2018"/>
    <w:p>
      <w:pPr>
        <w:pStyle w:val="Bibliography"/>
      </w:pPr>
      <w:r>
        <w:t xml:space="preserve">Chiquoine, L. P., and S. R. Abella. 2018.</w:t>
      </w:r>
      <w:r>
        <w:t xml:space="preserve"> </w:t>
      </w:r>
      <w:hyperlink r:id="rId38">
        <w:r>
          <w:rPr>
            <w:rStyle w:val="Hyperlink"/>
          </w:rPr>
          <w:t xml:space="preserve">Soil seed bank assay methods influence interpretation of non-native plant management</w:t>
        </w:r>
      </w:hyperlink>
      <w:r>
        <w:t xml:space="preserve">. Applied Vegetation Science 21:626–635.</w:t>
      </w:r>
    </w:p>
    <w:bookmarkEnd w:id="39"/>
    <w:bookmarkStart w:id="40" w:name="ref-davi1998"/>
    <w:p>
      <w:pPr>
        <w:pStyle w:val="Bibliography"/>
      </w:pPr>
      <w:r>
        <w:t xml:space="preserve">Davies, R. 1998. Regeneration of blackberry-infested native vegetation. Plant Protection Quarterly 13:189–195.</w:t>
      </w:r>
    </w:p>
    <w:bookmarkEnd w:id="40"/>
    <w:bookmarkStart w:id="41" w:name="ref-gers1970"/>
    <w:p>
      <w:pPr>
        <w:pStyle w:val="Bibliography"/>
      </w:pPr>
      <w:r>
        <w:t xml:space="preserve">Gersmehl, P. 1970. A geographic approach to a vegetation problem: The case of the southern appalachian grass balds. Ph.D. Dissertation, University of Georgia, Athens, GA. 463 pp.</w:t>
      </w:r>
    </w:p>
    <w:bookmarkEnd w:id="41"/>
    <w:bookmarkStart w:id="42" w:name="ref-hame1990"/>
    <w:p>
      <w:pPr>
        <w:pStyle w:val="Bibliography"/>
      </w:pPr>
      <w:r>
        <w:t xml:space="preserve">Hamel, P., and P. Somers. 1990. Vegetation analysis report: Roan mountain grassy balds. Challenge Cost Share Project.:25.</w:t>
      </w:r>
    </w:p>
    <w:bookmarkEnd w:id="42"/>
    <w:bookmarkStart w:id="44" w:name="ref-lind1979v"/>
    <w:p>
      <w:pPr>
        <w:pStyle w:val="Bibliography"/>
      </w:pPr>
      <w:r>
        <w:t xml:space="preserve">Lindsay, M. M., and S. P. Bratton. 1979a.</w:t>
      </w:r>
      <w:r>
        <w:t xml:space="preserve"> </w:t>
      </w:r>
      <w:hyperlink r:id="rId43">
        <w:r>
          <w:rPr>
            <w:rStyle w:val="Hyperlink"/>
          </w:rPr>
          <w:t xml:space="preserve">The vegetation of grassy balds and other high elevation disturbed areas in the great smoky mountains national park</w:t>
        </w:r>
      </w:hyperlink>
      <w:r>
        <w:t xml:space="preserve">. Bulletin of the Torrey Botanical Club 106:264–275.</w:t>
      </w:r>
    </w:p>
    <w:bookmarkEnd w:id="44"/>
    <w:bookmarkStart w:id="46" w:name="ref-lind1979b"/>
    <w:p>
      <w:pPr>
        <w:pStyle w:val="Bibliography"/>
      </w:pPr>
      <w:r>
        <w:t xml:space="preserve">Lindsay, M. M., and S. P. Bratton. 1979b.</w:t>
      </w:r>
      <w:r>
        <w:t xml:space="preserve"> </w:t>
      </w:r>
      <w:hyperlink r:id="rId45">
        <w:r>
          <w:rPr>
            <w:rStyle w:val="Hyperlink"/>
          </w:rPr>
          <w:t xml:space="preserve">Grassy balds of the great smoky mountains: Their history and flora in relation to potential management</w:t>
        </w:r>
      </w:hyperlink>
      <w:r>
        <w:t xml:space="preserve">. Environmental Management 3:417–430.</w:t>
      </w:r>
    </w:p>
    <w:bookmarkEnd w:id="46"/>
    <w:bookmarkStart w:id="47" w:name="ref-lind1980"/>
    <w:p>
      <w:pPr>
        <w:pStyle w:val="Bibliography"/>
      </w:pPr>
      <w:r>
        <w:t xml:space="preserve">Lindsay, M. M., and S. P. Bratton. 1980. The rate of woody plant invasion on two grassy balds. Castanea 45:75–87.</w:t>
      </w:r>
    </w:p>
    <w:bookmarkEnd w:id="47"/>
    <w:bookmarkStart w:id="49" w:name="ref-PCORD"/>
    <w:p>
      <w:pPr>
        <w:pStyle w:val="Bibliography"/>
      </w:pPr>
      <w:r>
        <w:t xml:space="preserve">McCune, B., and M. J. Medfford. 2016.</w:t>
      </w:r>
      <w:r>
        <w:t xml:space="preserve"> </w:t>
      </w:r>
      <w:hyperlink r:id="rId48">
        <w:r>
          <w:rPr>
            <w:rStyle w:val="Hyperlink"/>
          </w:rPr>
          <w:t xml:space="preserve">PC-ORD. Multivartiate analysis of ecological data. Version 7</w:t>
        </w:r>
      </w:hyperlink>
      <w:r>
        <w:t xml:space="preserve">. MjM Software Design, Gleneden Beach, Oregon, USA.</w:t>
      </w:r>
    </w:p>
    <w:bookmarkEnd w:id="49"/>
    <w:bookmarkStart w:id="51" w:name="ref-mora2013"/>
    <w:p>
      <w:pPr>
        <w:pStyle w:val="Bibliography"/>
      </w:pPr>
      <w:r>
        <w:t xml:space="preserve">Moravek, S., J. Luly, J. Grindrod, and R. Fairfax. 2013.</w:t>
      </w:r>
      <w:r>
        <w:t xml:space="preserve"> </w:t>
      </w:r>
      <w:hyperlink r:id="rId50">
        <w:r>
          <w:rPr>
            <w:rStyle w:val="Hyperlink"/>
          </w:rPr>
          <w:t xml:space="preserve">The origin of grassy balds in the bunya mountains, southeastern queensland, australia</w:t>
        </w:r>
      </w:hyperlink>
      <w:r>
        <w:t xml:space="preserve">. The Holocene 23:305–315.</w:t>
      </w:r>
    </w:p>
    <w:bookmarkEnd w:id="51"/>
    <w:bookmarkStart w:id="52" w:name="ref-murd1986"/>
    <w:p>
      <w:pPr>
        <w:pStyle w:val="Bibliography"/>
      </w:pPr>
      <w:r>
        <w:t xml:space="preserve">Murdock, N. A. 1986. Evaluation of management techniques on a southern appalachian bald. Unpublished M.S. Thesis. Western Carolina University. 62 pp.</w:t>
      </w:r>
    </w:p>
    <w:bookmarkEnd w:id="52"/>
    <w:bookmarkStart w:id="54" w:name="ref-pric2010"/>
    <w:p>
      <w:pPr>
        <w:pStyle w:val="Bibliography"/>
      </w:pPr>
      <w:r>
        <w:t xml:space="preserve">Price, J. N., B. R. Wright, C. L. Gross, and W. R. D. B. Whalley. 2010.</w:t>
      </w:r>
      <w:r>
        <w:t xml:space="preserve"> </w:t>
      </w:r>
      <w:hyperlink r:id="rId53">
        <w:r>
          <w:rPr>
            <w:rStyle w:val="Hyperlink"/>
          </w:rPr>
          <w:t xml:space="preserve">Comparison of seedling emergence and seed extraction techniques for estimating the composition of soil seed banks</w:t>
        </w:r>
      </w:hyperlink>
      <w:r>
        <w:t xml:space="preserve">. Methods in Ecology and Evolution 1:151–157.</w:t>
      </w:r>
    </w:p>
    <w:bookmarkEnd w:id="54"/>
    <w:bookmarkStart w:id="56" w:name="ref-stok2022"/>
    <w:p>
      <w:pPr>
        <w:pStyle w:val="Bibliography"/>
      </w:pPr>
      <w:r>
        <w:t xml:space="preserve">Stokes, C., and J. L. Horton. 2022.</w:t>
      </w:r>
      <w:r>
        <w:t xml:space="preserve"> </w:t>
      </w:r>
      <w:hyperlink r:id="rId55">
        <w:r>
          <w:rPr>
            <w:rStyle w:val="Hyperlink"/>
          </w:rPr>
          <w:t xml:space="preserve">Effects of grassy bald management on plant community composition within the roan mountain massif</w:t>
        </w:r>
      </w:hyperlink>
      <w:r>
        <w:t xml:space="preserve">. Castanea 87:105–120.</w:t>
      </w:r>
    </w:p>
    <w:bookmarkEnd w:id="56"/>
    <w:bookmarkStart w:id="58" w:name="ref-weig1995"/>
    <w:p>
      <w:pPr>
        <w:pStyle w:val="Bibliography"/>
      </w:pPr>
      <w:r>
        <w:t xml:space="preserve">Weigl, P. D., and T. W. Knowles. 1995.</w:t>
      </w:r>
      <w:r>
        <w:t xml:space="preserve"> </w:t>
      </w:r>
      <w:hyperlink r:id="rId57">
        <w:r>
          <w:rPr>
            <w:rStyle w:val="Hyperlink"/>
          </w:rPr>
          <w:t xml:space="preserve">Megaherbivores and southern appalachian grass balds</w:t>
        </w:r>
      </w:hyperlink>
      <w:r>
        <w:t xml:space="preserve">. Growth and Change 26:365–382.</w:t>
      </w:r>
    </w:p>
    <w:bookmarkEnd w:id="58"/>
    <w:bookmarkStart w:id="60" w:name="ref-weig2014"/>
    <w:p>
      <w:pPr>
        <w:pStyle w:val="Bibliography"/>
      </w:pPr>
      <w:r>
        <w:t xml:space="preserve">Weigl, P. D., and T. W. Knowles. 2014.</w:t>
      </w:r>
      <w:r>
        <w:t xml:space="preserve"> </w:t>
      </w:r>
      <w:hyperlink r:id="rId59">
        <w:r>
          <w:rPr>
            <w:rStyle w:val="Hyperlink"/>
          </w:rPr>
          <w:t xml:space="preserve">Temperate mountain grasslands: A climate-herbivore hypothesis for origins and persistence</w:t>
        </w:r>
      </w:hyperlink>
      <w:r>
        <w:t xml:space="preserve">. Biological Reviews 89:466–476.</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9" Target="https://doi.org/10.1111/brv.12063" TargetMode="External" /><Relationship Type="http://schemas.openxmlformats.org/officeDocument/2006/relationships/hyperlink" Id="rId57" Target="https://doi.org/10.1111/j.1468-2257.1995.tb00176.x" TargetMode="External" /><Relationship Type="http://schemas.openxmlformats.org/officeDocument/2006/relationships/hyperlink" Id="rId53" Target="https://doi.org/10.1111/j.2041-210X.2010.00011.x" TargetMode="External" /><Relationship Type="http://schemas.openxmlformats.org/officeDocument/2006/relationships/hyperlink" Id="rId50" Target="https://doi.org/10.1177/0959683612460792" TargetMode="External" /><Relationship Type="http://schemas.openxmlformats.org/officeDocument/2006/relationships/hyperlink" Id="rId55" Target="https://doi.org/10.2179/0008-7475.87.1.105" TargetMode="External" /><Relationship Type="http://schemas.openxmlformats.org/officeDocument/2006/relationships/hyperlink" Id="rId43" Target="https://doi.org/10.2307/2560352" TargetMode="External" /><Relationship Type="http://schemas.openxmlformats.org/officeDocument/2006/relationships/hyperlink" Id="rId48" Target="https://www.wildblueberrymedia.net/software"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9" Target="https://doi.org/10.1111/brv.12063" TargetMode="External" /><Relationship Type="http://schemas.openxmlformats.org/officeDocument/2006/relationships/hyperlink" Id="rId57" Target="https://doi.org/10.1111/j.1468-2257.1995.tb00176.x" TargetMode="External" /><Relationship Type="http://schemas.openxmlformats.org/officeDocument/2006/relationships/hyperlink" Id="rId53" Target="https://doi.org/10.1111/j.2041-210X.2010.00011.x" TargetMode="External" /><Relationship Type="http://schemas.openxmlformats.org/officeDocument/2006/relationships/hyperlink" Id="rId50" Target="https://doi.org/10.1177/0959683612460792" TargetMode="External" /><Relationship Type="http://schemas.openxmlformats.org/officeDocument/2006/relationships/hyperlink" Id="rId55" Target="https://doi.org/10.2179/0008-7475.87.1.105" TargetMode="External" /><Relationship Type="http://schemas.openxmlformats.org/officeDocument/2006/relationships/hyperlink" Id="rId43" Target="https://doi.org/10.2307/2560352" TargetMode="External" /><Relationship Type="http://schemas.openxmlformats.org/officeDocument/2006/relationships/hyperlink" Id="rId48" Target="https://www.wildblueberrymedia.net/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disturbance in a rare ecosystem subtype - grassy bald - and implications for conservation of Round Bald</dc:title>
  <dc:creator>J. Ted Hillert</dc:creator>
  <cp:keywords/>
  <dcterms:created xsi:type="dcterms:W3CDTF">2023-02-07T12:50:47Z</dcterms:created>
  <dcterms:modified xsi:type="dcterms:W3CDTF">2023-02-07T12:50:47Z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