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Light" w:hAnsi="Calibri Light"/>
          <w:b/>
          <w:color w:val="0D233A"/>
          <w:sz w:val="48"/>
        </w:rPr>
        <w:t>DIY Ratiometric Reagentless Alkalinity Monitor</w:t>
      </w:r>
    </w:p>
    <w:p>
      <w:pPr>
        <w:spacing w:after="480"/>
      </w:pPr>
      <w:r>
        <w:rPr>
          <w:i/>
          <w:color w:val="4A5D6E"/>
          <w:sz w:val="24"/>
        </w:rPr>
        <w:t>Technical Blueprint: Fluidic Workflow, Specification, &amp; Bill of Materials</w:t>
      </w:r>
    </w:p>
    <w:p>
      <w:r>
        <w:t>This document serves as the complete technical blueprint for engineering a reagent-free, single-probe automated alkalinity monitoring system for marine aquariums. By leveraging sequential dual-phase aeration inside an isolated measurement chamber, the device successfully bypasses the need for liquid chemical reagents, indicator fluids, or standard titration acids.</w:t>
      </w:r>
    </w:p>
    <w:p>
      <w:pPr>
        <w:pStyle w:val="Heading1"/>
        <w:spacing w:before="240" w:after="120"/>
      </w:pPr>
      <w:r>
        <w:rPr>
          <w:rFonts w:ascii="Calibri Light" w:hAnsi="Calibri Light"/>
          <w:b/>
          <w:color w:val="0D233A"/>
          <w:sz w:val="32"/>
        </w:rPr>
        <w:t>1. System Design Principles</w:t>
      </w:r>
    </w:p>
    <w:p>
      <w:r>
        <w:t>Total Alkalinity (TA) remains fundamentally unshifted when CO2 gas is added or removed from a solution. However, the localized pH moves dramatically. By aggressively aerating a small volume of water until it reaches complete gas equilibrium with ambient air, the unknown indoor room air pCO2 and solubility constants can be entirely cancelled out mathematically. The device uses a single, high-performance double-junction pH probe paired with a digital temperature probe inside a shared reaction cell to analyze both reference fluid and live tank water sequentially, creating an environment immune to standard electrical and chemical probe drift.</w:t>
      </w:r>
    </w:p>
    <w:p>
      <w:pPr>
        <w:pStyle w:val="Heading1"/>
        <w:spacing w:before="360" w:after="120"/>
      </w:pPr>
      <w:r>
        <w:rPr>
          <w:rFonts w:ascii="Calibri Light" w:hAnsi="Calibri Light"/>
          <w:b/>
          <w:color w:val="0D233A"/>
          <w:sz w:val="32"/>
        </w:rPr>
        <w:t>2. Detailed Bill of Materials (BOM)</w:t>
      </w:r>
    </w:p>
    <w:tbl>
      <w:tblPr>
        <w:tblStyle w:val="LightShading-Accent1"/>
        <w:tblW w:type="auto" w:w="0"/>
        <w:tblLook w:firstColumn="1" w:firstRow="1" w:lastColumn="0" w:lastRow="0" w:noHBand="0" w:noVBand="1" w:val="04A0"/>
      </w:tblPr>
      <w:tblGrid>
        <w:gridCol w:w="3120"/>
        <w:gridCol w:w="3120"/>
        <w:gridCol w:w="3120"/>
      </w:tblGrid>
      <w:tr>
        <w:tc>
          <w:tcPr>
            <w:tcW w:type="dxa" w:w="3120"/>
            <w:shd w:fill="0D233A"/>
            <w:tcMar>
              <w:top w:w="120" w:type="dxa"/>
              <w:bottom w:w="120" w:type="dxa"/>
              <w:left w:w="150" w:type="dxa"/>
              <w:right w:w="150" w:type="dxa"/>
            </w:tcMar>
          </w:tcPr>
          <w:p>
            <w:r>
              <w:rPr>
                <w:b/>
                <w:color w:val="FFFFFF"/>
              </w:rPr>
              <w:t>Subsystem</w:t>
            </w:r>
          </w:p>
        </w:tc>
        <w:tc>
          <w:tcPr>
            <w:tcW w:type="dxa" w:w="3120"/>
            <w:shd w:fill="0D233A"/>
            <w:tcMar>
              <w:top w:w="120" w:type="dxa"/>
              <w:bottom w:w="120" w:type="dxa"/>
              <w:left w:w="150" w:type="dxa"/>
              <w:right w:w="150" w:type="dxa"/>
            </w:tcMar>
          </w:tcPr>
          <w:p>
            <w:r>
              <w:rPr>
                <w:b/>
                <w:color w:val="FFFFFF"/>
              </w:rPr>
              <w:t>Component Description</w:t>
            </w:r>
          </w:p>
        </w:tc>
        <w:tc>
          <w:tcPr>
            <w:tcW w:type="dxa" w:w="3120"/>
            <w:shd w:fill="0D233A"/>
            <w:tcMar>
              <w:top w:w="120" w:type="dxa"/>
              <w:bottom w:w="120" w:type="dxa"/>
              <w:left w:w="150" w:type="dxa"/>
              <w:right w:w="150" w:type="dxa"/>
            </w:tcMar>
          </w:tcPr>
          <w:p>
            <w:r>
              <w:rPr>
                <w:b/>
                <w:color w:val="FFFFFF"/>
              </w:rPr>
              <w:t>Engineering Selection Criteria</w:t>
            </w:r>
          </w:p>
        </w:tc>
      </w:tr>
      <w:tr>
        <w:tc>
          <w:tcPr>
            <w:tcW w:type="dxa" w:w="3120"/>
            <w:tcMar>
              <w:top w:w="100" w:type="dxa"/>
              <w:bottom w:w="100" w:type="dxa"/>
              <w:left w:w="150" w:type="dxa"/>
              <w:right w:w="150" w:type="dxa"/>
            </w:tcMar>
          </w:tcPr>
          <w:p>
            <w:r>
              <w:rPr>
                <w:sz w:val="20"/>
              </w:rPr>
              <w:t>Sensing</w:t>
            </w:r>
          </w:p>
        </w:tc>
        <w:tc>
          <w:tcPr>
            <w:tcW w:type="dxa" w:w="3120"/>
            <w:tcMar>
              <w:top w:w="100" w:type="dxa"/>
              <w:bottom w:w="100" w:type="dxa"/>
              <w:left w:w="150" w:type="dxa"/>
              <w:right w:w="150" w:type="dxa"/>
            </w:tcMar>
          </w:tcPr>
          <w:p>
            <w:r>
              <w:rPr>
                <w:sz w:val="20"/>
              </w:rPr>
              <w:t>Lab-Grade pH Probe</w:t>
            </w:r>
          </w:p>
        </w:tc>
        <w:tc>
          <w:tcPr>
            <w:tcW w:type="dxa" w:w="3120"/>
            <w:tcMar>
              <w:top w:w="100" w:type="dxa"/>
              <w:bottom w:w="100" w:type="dxa"/>
              <w:left w:w="150" w:type="dxa"/>
              <w:right w:w="150" w:type="dxa"/>
            </w:tcMar>
          </w:tcPr>
          <w:p>
            <w:r>
              <w:rPr>
                <w:sz w:val="20"/>
              </w:rPr>
              <w:t>Double-junction, gel-filled reference cell, epoxy or Ultem body, BNC connector. Continuous immersion rating mandatory to survive saltwater exposure without poisoning.</w:t>
            </w:r>
          </w:p>
        </w:tc>
      </w:tr>
      <w:tr>
        <w:tc>
          <w:tcPr>
            <w:tcW w:type="dxa" w:w="3120"/>
            <w:tcMar>
              <w:top w:w="100" w:type="dxa"/>
              <w:bottom w:w="100" w:type="dxa"/>
              <w:left w:w="150" w:type="dxa"/>
              <w:right w:w="150" w:type="dxa"/>
            </w:tcMar>
          </w:tcPr>
          <w:p>
            <w:r>
              <w:rPr>
                <w:sz w:val="20"/>
              </w:rPr>
              <w:t>Sensing</w:t>
            </w:r>
          </w:p>
        </w:tc>
        <w:tc>
          <w:tcPr>
            <w:tcW w:type="dxa" w:w="3120"/>
            <w:tcMar>
              <w:top w:w="100" w:type="dxa"/>
              <w:bottom w:w="100" w:type="dxa"/>
              <w:left w:w="150" w:type="dxa"/>
              <w:right w:w="150" w:type="dxa"/>
            </w:tcMar>
          </w:tcPr>
          <w:p>
            <w:r>
              <w:rPr>
                <w:sz w:val="20"/>
              </w:rPr>
              <w:t>Digital Temp Probe</w:t>
            </w:r>
          </w:p>
        </w:tc>
        <w:tc>
          <w:tcPr>
            <w:tcW w:type="dxa" w:w="3120"/>
            <w:tcMar>
              <w:top w:w="100" w:type="dxa"/>
              <w:bottom w:w="100" w:type="dxa"/>
              <w:left w:w="150" w:type="dxa"/>
              <w:right w:w="150" w:type="dxa"/>
            </w:tcMar>
          </w:tcPr>
          <w:p>
            <w:r>
              <w:rPr>
                <w:sz w:val="20"/>
              </w:rPr>
              <w:t>DS18B20 waterproof digital sensor, 1-Wire protocol, accurate to ±0.1°C. Encapsulated in marine-grade 316 stainless steel or heavy plastic sheath.</w:t>
            </w:r>
          </w:p>
        </w:tc>
      </w:tr>
      <w:tr>
        <w:tc>
          <w:tcPr>
            <w:tcW w:type="dxa" w:w="3120"/>
            <w:tcMar>
              <w:top w:w="100" w:type="dxa"/>
              <w:bottom w:w="100" w:type="dxa"/>
              <w:left w:w="150" w:type="dxa"/>
              <w:right w:w="150" w:type="dxa"/>
            </w:tcMar>
          </w:tcPr>
          <w:p>
            <w:r>
              <w:rPr>
                <w:sz w:val="20"/>
              </w:rPr>
              <w:t>Fluidics</w:t>
            </w:r>
          </w:p>
        </w:tc>
        <w:tc>
          <w:tcPr>
            <w:tcW w:type="dxa" w:w="3120"/>
            <w:tcMar>
              <w:top w:w="100" w:type="dxa"/>
              <w:bottom w:w="100" w:type="dxa"/>
              <w:left w:w="150" w:type="dxa"/>
              <w:right w:w="150" w:type="dxa"/>
            </w:tcMar>
          </w:tcPr>
          <w:p>
            <w:r>
              <w:rPr>
                <w:sz w:val="20"/>
              </w:rPr>
              <w:t>Reversible Peristaltic Pump (Pump A)</w:t>
            </w:r>
          </w:p>
        </w:tc>
        <w:tc>
          <w:tcPr>
            <w:tcW w:type="dxa" w:w="3120"/>
            <w:tcMar>
              <w:top w:w="100" w:type="dxa"/>
              <w:bottom w:w="100" w:type="dxa"/>
              <w:left w:w="150" w:type="dxa"/>
              <w:right w:w="150" w:type="dxa"/>
            </w:tcMar>
          </w:tcPr>
          <w:p>
            <w:r>
              <w:rPr>
                <w:sz w:val="20"/>
              </w:rPr>
              <w:t>12V DC motor, high-durability PharMed BPT or Santoprene tubing. Must support bidirectional control to draw from and fully return sample to the reference cell.</w:t>
            </w:r>
          </w:p>
        </w:tc>
      </w:tr>
      <w:tr>
        <w:tc>
          <w:tcPr>
            <w:tcW w:type="dxa" w:w="3120"/>
            <w:tcMar>
              <w:top w:w="100" w:type="dxa"/>
              <w:bottom w:w="100" w:type="dxa"/>
              <w:left w:w="150" w:type="dxa"/>
              <w:right w:w="150" w:type="dxa"/>
            </w:tcMar>
          </w:tcPr>
          <w:p>
            <w:r>
              <w:rPr>
                <w:sz w:val="20"/>
              </w:rPr>
              <w:t>Fluidics</w:t>
            </w:r>
          </w:p>
        </w:tc>
        <w:tc>
          <w:tcPr>
            <w:tcW w:type="dxa" w:w="3120"/>
            <w:tcMar>
              <w:top w:w="100" w:type="dxa"/>
              <w:bottom w:w="100" w:type="dxa"/>
              <w:left w:w="150" w:type="dxa"/>
              <w:right w:w="150" w:type="dxa"/>
            </w:tcMar>
          </w:tcPr>
          <w:p>
            <w:r>
              <w:rPr>
                <w:sz w:val="20"/>
              </w:rPr>
              <w:t>Standard Dosing Pump (Pump B)</w:t>
            </w:r>
          </w:p>
        </w:tc>
        <w:tc>
          <w:tcPr>
            <w:tcW w:type="dxa" w:w="3120"/>
            <w:tcMar>
              <w:top w:w="100" w:type="dxa"/>
              <w:bottom w:w="100" w:type="dxa"/>
              <w:left w:w="150" w:type="dxa"/>
              <w:right w:w="150" w:type="dxa"/>
            </w:tcMar>
          </w:tcPr>
          <w:p>
            <w:r>
              <w:rPr>
                <w:sz w:val="20"/>
              </w:rPr>
              <w:t>12V DC peristaltic dosing pump configured to pull fresh, unadulterated water samples directly from the aquarium sump environment.</w:t>
            </w:r>
          </w:p>
        </w:tc>
      </w:tr>
      <w:tr>
        <w:tc>
          <w:tcPr>
            <w:tcW w:type="dxa" w:w="3120"/>
            <w:tcMar>
              <w:top w:w="100" w:type="dxa"/>
              <w:bottom w:w="100" w:type="dxa"/>
              <w:left w:w="150" w:type="dxa"/>
              <w:right w:w="150" w:type="dxa"/>
            </w:tcMar>
          </w:tcPr>
          <w:p>
            <w:r>
              <w:rPr>
                <w:sz w:val="20"/>
              </w:rPr>
              <w:t>Fluidics</w:t>
            </w:r>
          </w:p>
        </w:tc>
        <w:tc>
          <w:tcPr>
            <w:tcW w:type="dxa" w:w="3120"/>
            <w:tcMar>
              <w:top w:w="100" w:type="dxa"/>
              <w:bottom w:w="100" w:type="dxa"/>
              <w:left w:w="150" w:type="dxa"/>
              <w:right w:w="150" w:type="dxa"/>
            </w:tcMar>
          </w:tcPr>
          <w:p>
            <w:r>
              <w:rPr>
                <w:sz w:val="20"/>
              </w:rPr>
              <w:t>High-Flow Drain Pump (Pump C)</w:t>
            </w:r>
          </w:p>
        </w:tc>
        <w:tc>
          <w:tcPr>
            <w:tcW w:type="dxa" w:w="3120"/>
            <w:tcMar>
              <w:top w:w="100" w:type="dxa"/>
              <w:bottom w:w="100" w:type="dxa"/>
              <w:left w:w="150" w:type="dxa"/>
              <w:right w:w="150" w:type="dxa"/>
            </w:tcMar>
          </w:tcPr>
          <w:p>
            <w:r>
              <w:rPr>
                <w:sz w:val="20"/>
              </w:rPr>
              <w:t>12V DC micro-peristaltic or diaphragm pump designated to rapidly clear out the reaction cell into a dedicated waste line.</w:t>
            </w:r>
          </w:p>
        </w:tc>
      </w:tr>
      <w:tr>
        <w:tc>
          <w:tcPr>
            <w:tcW w:type="dxa" w:w="3120"/>
            <w:tcMar>
              <w:top w:w="100" w:type="dxa"/>
              <w:bottom w:w="100" w:type="dxa"/>
              <w:left w:w="150" w:type="dxa"/>
              <w:right w:w="150" w:type="dxa"/>
            </w:tcMar>
          </w:tcPr>
          <w:p>
            <w:r>
              <w:rPr>
                <w:sz w:val="20"/>
              </w:rPr>
              <w:t>Aeration</w:t>
            </w:r>
          </w:p>
        </w:tc>
        <w:tc>
          <w:tcPr>
            <w:tcW w:type="dxa" w:w="3120"/>
            <w:tcMar>
              <w:top w:w="100" w:type="dxa"/>
              <w:bottom w:w="100" w:type="dxa"/>
              <w:left w:w="150" w:type="dxa"/>
              <w:right w:w="150" w:type="dxa"/>
            </w:tcMar>
          </w:tcPr>
          <w:p>
            <w:r>
              <w:rPr>
                <w:sz w:val="20"/>
              </w:rPr>
              <w:t>Micro Air Pump &amp; Airstone</w:t>
            </w:r>
          </w:p>
        </w:tc>
        <w:tc>
          <w:tcPr>
            <w:tcW w:type="dxa" w:w="3120"/>
            <w:tcMar>
              <w:top w:w="100" w:type="dxa"/>
              <w:bottom w:w="100" w:type="dxa"/>
              <w:left w:w="150" w:type="dxa"/>
              <w:right w:w="150" w:type="dxa"/>
            </w:tcMar>
          </w:tcPr>
          <w:p>
            <w:r>
              <w:rPr>
                <w:sz w:val="20"/>
              </w:rPr>
              <w:t>5V/12V micro diaphragm pump connected to a fine ceramic micro-bubble diffuser. Must provide sufficient gas output to achieve full equilibrium within 10 minutes.</w:t>
            </w:r>
          </w:p>
        </w:tc>
      </w:tr>
      <w:tr>
        <w:tc>
          <w:tcPr>
            <w:tcW w:type="dxa" w:w="3120"/>
            <w:tcMar>
              <w:top w:w="100" w:type="dxa"/>
              <w:bottom w:w="100" w:type="dxa"/>
              <w:left w:w="150" w:type="dxa"/>
              <w:right w:w="150" w:type="dxa"/>
            </w:tcMar>
          </w:tcPr>
          <w:p>
            <w:r>
              <w:rPr>
                <w:sz w:val="20"/>
              </w:rPr>
              <w:t>Electronics</w:t>
            </w:r>
          </w:p>
        </w:tc>
        <w:tc>
          <w:tcPr>
            <w:tcW w:type="dxa" w:w="3120"/>
            <w:tcMar>
              <w:top w:w="100" w:type="dxa"/>
              <w:bottom w:w="100" w:type="dxa"/>
              <w:left w:w="150" w:type="dxa"/>
              <w:right w:w="150" w:type="dxa"/>
            </w:tcMar>
          </w:tcPr>
          <w:p>
            <w:r>
              <w:rPr>
                <w:sz w:val="20"/>
              </w:rPr>
              <w:t>Signal Conditioning Board</w:t>
            </w:r>
          </w:p>
        </w:tc>
        <w:tc>
          <w:tcPr>
            <w:tcW w:type="dxa" w:w="3120"/>
            <w:tcMar>
              <w:top w:w="100" w:type="dxa"/>
              <w:bottom w:w="100" w:type="dxa"/>
              <w:left w:w="150" w:type="dxa"/>
              <w:right w:w="150" w:type="dxa"/>
            </w:tcMar>
          </w:tcPr>
          <w:p>
            <w:r>
              <w:rPr>
                <w:sz w:val="20"/>
              </w:rPr>
              <w:t>Atlas Scientific EZO-pH Circuit or high-impedance equivalent embedded ADC module supporting digital I2C/UART transmission protocol.</w:t>
            </w:r>
          </w:p>
        </w:tc>
      </w:tr>
      <w:tr>
        <w:tc>
          <w:tcPr>
            <w:tcW w:type="dxa" w:w="3120"/>
            <w:tcMar>
              <w:top w:w="100" w:type="dxa"/>
              <w:bottom w:w="100" w:type="dxa"/>
              <w:left w:w="150" w:type="dxa"/>
              <w:right w:w="150" w:type="dxa"/>
            </w:tcMar>
          </w:tcPr>
          <w:p>
            <w:r>
              <w:rPr>
                <w:sz w:val="20"/>
              </w:rPr>
              <w:t>Electronics</w:t>
            </w:r>
          </w:p>
        </w:tc>
        <w:tc>
          <w:tcPr>
            <w:tcW w:type="dxa" w:w="3120"/>
            <w:tcMar>
              <w:top w:w="100" w:type="dxa"/>
              <w:bottom w:w="100" w:type="dxa"/>
              <w:left w:w="150" w:type="dxa"/>
              <w:right w:w="150" w:type="dxa"/>
            </w:tcMar>
          </w:tcPr>
          <w:p>
            <w:r>
              <w:rPr>
                <w:sz w:val="20"/>
              </w:rPr>
              <w:t>Galvanic Isolation Board</w:t>
            </w:r>
          </w:p>
        </w:tc>
        <w:tc>
          <w:tcPr>
            <w:tcW w:type="dxa" w:w="3120"/>
            <w:tcMar>
              <w:top w:w="100" w:type="dxa"/>
              <w:bottom w:w="100" w:type="dxa"/>
              <w:left w:w="150" w:type="dxa"/>
              <w:right w:w="150" w:type="dxa"/>
            </w:tcMar>
          </w:tcPr>
          <w:p>
            <w:r>
              <w:rPr>
                <w:sz w:val="20"/>
              </w:rPr>
              <w:t>Inline I2C galvanic isolation board (e.g., Adafruit ISO1540). Mandatory requirement to separate high-frequency pump motor noise from the microvolt pH probe readings.</w:t>
            </w:r>
          </w:p>
        </w:tc>
      </w:tr>
      <w:tr>
        <w:tc>
          <w:tcPr>
            <w:tcW w:type="dxa" w:w="3120"/>
            <w:tcMar>
              <w:top w:w="100" w:type="dxa"/>
              <w:bottom w:w="100" w:type="dxa"/>
              <w:left w:w="150" w:type="dxa"/>
              <w:right w:w="150" w:type="dxa"/>
            </w:tcMar>
          </w:tcPr>
          <w:p>
            <w:r>
              <w:rPr>
                <w:sz w:val="20"/>
              </w:rPr>
              <w:t>Electronics</w:t>
            </w:r>
          </w:p>
        </w:tc>
        <w:tc>
          <w:tcPr>
            <w:tcW w:type="dxa" w:w="3120"/>
            <w:tcMar>
              <w:top w:w="100" w:type="dxa"/>
              <w:bottom w:w="100" w:type="dxa"/>
              <w:left w:w="150" w:type="dxa"/>
              <w:right w:w="150" w:type="dxa"/>
            </w:tcMar>
          </w:tcPr>
          <w:p>
            <w:r>
              <w:rPr>
                <w:sz w:val="20"/>
              </w:rPr>
              <w:t>Microcontroller Unit (MCU)</w:t>
            </w:r>
          </w:p>
        </w:tc>
        <w:tc>
          <w:tcPr>
            <w:tcW w:type="dxa" w:w="3120"/>
            <w:tcMar>
              <w:top w:w="100" w:type="dxa"/>
              <w:bottom w:w="100" w:type="dxa"/>
              <w:left w:w="150" w:type="dxa"/>
              <w:right w:w="150" w:type="dxa"/>
            </w:tcMar>
          </w:tcPr>
          <w:p>
            <w:r>
              <w:rPr>
                <w:sz w:val="20"/>
              </w:rPr>
              <w:t>ESP32 DevKitC or Teensy 4.0 chip configuration. Dual-core layout on ESP32 is highly recommended to manage asynchronous timings and EEPROM lookups.</w:t>
            </w:r>
          </w:p>
        </w:tc>
      </w:tr>
      <w:tr>
        <w:tc>
          <w:tcPr>
            <w:tcW w:type="dxa" w:w="3120"/>
            <w:tcMar>
              <w:top w:w="100" w:type="dxa"/>
              <w:bottom w:w="100" w:type="dxa"/>
              <w:left w:w="150" w:type="dxa"/>
              <w:right w:w="150" w:type="dxa"/>
            </w:tcMar>
          </w:tcPr>
          <w:p>
            <w:r>
              <w:rPr>
                <w:sz w:val="20"/>
              </w:rPr>
              <w:t>Containment</w:t>
            </w:r>
          </w:p>
        </w:tc>
        <w:tc>
          <w:tcPr>
            <w:tcW w:type="dxa" w:w="3120"/>
            <w:tcMar>
              <w:top w:w="100" w:type="dxa"/>
              <w:bottom w:w="100" w:type="dxa"/>
              <w:left w:w="150" w:type="dxa"/>
              <w:right w:w="150" w:type="dxa"/>
            </w:tcMar>
          </w:tcPr>
          <w:p>
            <w:r>
              <w:rPr>
                <w:sz w:val="20"/>
              </w:rPr>
              <w:t>Static Reference Reservoir</w:t>
            </w:r>
          </w:p>
        </w:tc>
        <w:tc>
          <w:tcPr>
            <w:tcW w:type="dxa" w:w="3120"/>
            <w:tcMar>
              <w:top w:w="100" w:type="dxa"/>
              <w:bottom w:w="100" w:type="dxa"/>
              <w:left w:w="150" w:type="dxa"/>
              <w:right w:w="150" w:type="dxa"/>
            </w:tcMar>
          </w:tcPr>
          <w:p>
            <w:r>
              <w:rPr>
                <w:sz w:val="20"/>
              </w:rPr>
              <w:t>500mL - 1000mL heavy airtight acrylic container or wide-mouth Nalgene bottle with airtight bulkhead compression fittings to minimize water evaporation.</w:t>
            </w:r>
          </w:p>
        </w:tc>
      </w:tr>
      <w:tr>
        <w:tc>
          <w:tcPr>
            <w:tcW w:type="dxa" w:w="3120"/>
            <w:tcMar>
              <w:top w:w="100" w:type="dxa"/>
              <w:bottom w:w="100" w:type="dxa"/>
              <w:left w:w="150" w:type="dxa"/>
              <w:right w:w="150" w:type="dxa"/>
            </w:tcMar>
          </w:tcPr>
          <w:p>
            <w:r>
              <w:rPr>
                <w:sz w:val="20"/>
              </w:rPr>
              <w:t>Containment</w:t>
            </w:r>
          </w:p>
        </w:tc>
        <w:tc>
          <w:tcPr>
            <w:tcW w:type="dxa" w:w="3120"/>
            <w:tcMar>
              <w:top w:w="100" w:type="dxa"/>
              <w:bottom w:w="100" w:type="dxa"/>
              <w:left w:w="150" w:type="dxa"/>
              <w:right w:w="150" w:type="dxa"/>
            </w:tcMar>
          </w:tcPr>
          <w:p>
            <w:r>
              <w:rPr>
                <w:sz w:val="20"/>
              </w:rPr>
              <w:t>Reaction Chamber / Cell</w:t>
            </w:r>
          </w:p>
        </w:tc>
        <w:tc>
          <w:tcPr>
            <w:tcW w:type="dxa" w:w="3120"/>
            <w:tcMar>
              <w:top w:w="100" w:type="dxa"/>
              <w:bottom w:w="100" w:type="dxa"/>
              <w:left w:w="150" w:type="dxa"/>
              <w:right w:w="150" w:type="dxa"/>
            </w:tcMar>
          </w:tcPr>
          <w:p>
            <w:r>
              <w:rPr>
                <w:sz w:val="20"/>
              </w:rPr>
              <w:t>Custom milled clear acrylic or 3D-printed PETG vessel (approx. 40-50mL dynamic capacity) featuring secure mounting ports for both probes, fluid lines, and airstone.</w:t>
            </w:r>
          </w:p>
        </w:tc>
      </w:tr>
    </w:tbl>
    <w:p>
      <w:pPr>
        <w:spacing w:before="280" w:after="280"/>
      </w:pPr>
      <w:r>
        <w:rPr>
          <w:b/>
          <w:color w:val="0D233A"/>
        </w:rPr>
        <w:t>CRITICAL ENGINEERING NOTE ON GROUND LOOPS:</w:t>
        <w:br/>
      </w:r>
      <w:r>
        <w:t>Never connect the pH signal conditioning board directly to the shared power rails driving the pumps. Peristaltic and air pump motors inject substantial electromagnetic noise into water samples. An inline galvanic isolation chip must isolate the logic lines to secure absolute measurement tracking stability.</w:t>
      </w:r>
    </w:p>
    <w:p>
      <w:pPr>
        <w:pStyle w:val="Heading1"/>
        <w:spacing w:before="280" w:after="120"/>
      </w:pPr>
      <w:r>
        <w:rPr>
          <w:rFonts w:ascii="Calibri Light" w:hAnsi="Calibri Light"/>
          <w:b/>
          <w:color w:val="0D233A"/>
          <w:sz w:val="32"/>
        </w:rPr>
        <w:t>3. Comprehensive Operational Workflow</w:t>
      </w:r>
    </w:p>
    <w:p>
      <w:pPr>
        <w:pStyle w:val="Heading2"/>
        <w:spacing w:before="120" w:after="80"/>
      </w:pPr>
      <w:r>
        <w:rPr>
          <w:sz w:val="24"/>
        </w:rPr>
        <w:t>Phase A: Initial Configuration &amp; System Anchor (Executed Day 1 Only)</w:t>
      </w:r>
    </w:p>
    <w:p>
      <w:pPr>
        <w:pStyle w:val="ListBullet"/>
        <w:spacing w:after="60"/>
      </w:pPr>
      <w:r>
        <w:rPr>
          <w:b/>
          <w:color w:val="0D233A"/>
        </w:rPr>
        <w:t xml:space="preserve">Charge the Baseline Reservoir: </w:t>
      </w:r>
      <w:r>
        <w:t>Fill the static reference reservoir vessel with exactly 500mL of clean aquarium water. Seal all bulkhead compression points to guarantee an airtight environment.</w:t>
      </w:r>
    </w:p>
    <w:p>
      <w:pPr>
        <w:pStyle w:val="ListBullet"/>
        <w:spacing w:after="60"/>
      </w:pPr>
      <w:r>
        <w:rPr>
          <w:b/>
          <w:color w:val="0D233A"/>
        </w:rPr>
        <w:t xml:space="preserve">Analytical Calibration: </w:t>
      </w:r>
      <w:r>
        <w:t>Draw an isolated sample from this reservoir and evaluate its alkalinity using a high-precision manual titration test kit (e.g., Salifert or Hanna Checker).</w:t>
      </w:r>
    </w:p>
    <w:p>
      <w:pPr>
        <w:pStyle w:val="ListBullet"/>
        <w:spacing w:after="60"/>
      </w:pPr>
      <w:r>
        <w:rPr>
          <w:b/>
          <w:color w:val="0D233A"/>
        </w:rPr>
        <w:t xml:space="preserve">Commit to Memory: </w:t>
      </w:r>
      <w:r>
        <w:t>Input the resulting titration value (e.g., 8.2 dKH) into your microcontroller interface. The system permanently saves this into EEPROM non-volatile memory as your absolute anchor: TA_ref.</w:t>
      </w:r>
    </w:p>
    <w:p>
      <w:pPr>
        <w:pStyle w:val="Heading2"/>
        <w:spacing w:before="200" w:after="80"/>
      </w:pPr>
      <w:r>
        <w:rPr>
          <w:sz w:val="24"/>
        </w:rPr>
        <w:t>Phase B: The Automated Monitoring Cycle (Executed Every 4 Hours)</w:t>
      </w:r>
    </w:p>
    <w:p>
      <w:pPr>
        <w:pStyle w:val="ListBullet"/>
        <w:spacing w:after="60"/>
      </w:pPr>
      <w:r>
        <w:rPr>
          <w:b/>
          <w:color w:val="0D233A"/>
        </w:rPr>
        <w:t xml:space="preserve">Reference Baseline Equilibrium: </w:t>
      </w:r>
      <w:r>
        <w:t>Pump exactly 30mL of water from the sealed reference reservoir into the reaction chamber using Pump A (forward). Run the micro air pump for 10 minutes to vigorously bubble room air through the cell. Record the stabilized baseline data as pH_ref and T_ref (in Kelvin).</w:t>
      </w:r>
    </w:p>
    <w:p>
      <w:pPr>
        <w:pStyle w:val="ListBullet"/>
        <w:spacing w:after="60"/>
      </w:pPr>
      <w:r>
        <w:rPr>
          <w:b/>
          <w:color w:val="0D233A"/>
        </w:rPr>
        <w:t xml:space="preserve">Reference Conservation: </w:t>
      </w:r>
      <w:r>
        <w:t>Shut off the air pump. Actuate Pump A in reverse mode, pumping 100% of the reference fluid back into the sealed container. This loop completely preserves reference chemistry and volume over six months.</w:t>
      </w:r>
    </w:p>
    <w:p>
      <w:pPr>
        <w:pStyle w:val="ListBullet"/>
        <w:spacing w:after="60"/>
      </w:pPr>
      <w:r>
        <w:rPr>
          <w:b/>
          <w:color w:val="0D233A"/>
        </w:rPr>
        <w:t xml:space="preserve">Cross-Contamination Purge: </w:t>
      </w:r>
      <w:r>
        <w:t>Activate Pump B to inject 15mL of fresh aquarium water into the chamber to rinse away hanging reference droplets from the probe body. Run Pump C to dump this rinse fluid straight to Waste.</w:t>
      </w:r>
    </w:p>
    <w:p>
      <w:pPr>
        <w:pStyle w:val="ListBullet"/>
        <w:spacing w:after="60"/>
      </w:pPr>
      <w:r>
        <w:rPr>
          <w:b/>
          <w:color w:val="0D233A"/>
        </w:rPr>
        <w:t xml:space="preserve">Live Aquarium Analysis: </w:t>
      </w:r>
      <w:r>
        <w:t>Activate Pump B to draw a fresh 30mL sample directly from the aquarium sump into the chamber. Fire the micro air pump for the exact same 10-minute duration. Record the final parameters as pH_tank and T_tank.</w:t>
      </w:r>
    </w:p>
    <w:p>
      <w:pPr>
        <w:pStyle w:val="ListBullet"/>
        <w:spacing w:after="60"/>
      </w:pPr>
      <w:r>
        <w:rPr>
          <w:b/>
          <w:color w:val="0D233A"/>
        </w:rPr>
        <w:t xml:space="preserve">Evacuation &amp; Computation: </w:t>
      </w:r>
      <w:r>
        <w:t>Run Pump C to dump the tested aquarium sample entirely to Waste. The microcontroller processes the collected pH and temperature values against the Day 1 baseline constant, displays the new TA_tank reading, and puts the unit into standby.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