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800"/>
      </w:pPr>
    </w:p>
    <w:p>
      <w:pPr>
        <w:spacing w:after="80" w:before="0"/>
        <w:jc w:val="center"/>
      </w:pPr>
      <w:r>
        <w:rPr>
          <w:rFonts w:ascii="Arial" w:cs="Arial" w:eastAsia="Arial" w:hAnsi="Arial"/>
          <w:b/>
          <w:bCs/>
          <w:color w:val="1A6B6B"/>
          <w:sz w:val="56"/>
          <w:szCs w:val="56"/>
        </w:rPr>
        <w:t xml:space="preserve">Firmware Changelog</w:t>
      </w:r>
    </w:p>
    <w:p>
      <w:pPr>
        <w:spacing w:after="60" w:before="0"/>
        <w:jc w:val="center"/>
      </w:pPr>
      <w:r>
        <w:rPr>
          <w:rFonts w:ascii="Arial" w:cs="Arial" w:eastAsia="Arial" w:hAnsi="Arial"/>
          <w:color w:val="666666"/>
          <w:sz w:val="30"/>
          <w:szCs w:val="30"/>
        </w:rPr>
        <w:t xml:space="preserve">DIY Ratiometric Alkalinity Monitor</w:t>
      </w:r>
    </w:p>
    <w:p>
      <w:pPr>
        <w:pBdr>
          <w:bottom w:val="single" w:color="1A6B6B" w:sz="8" w:space="4"/>
        </w:pBdr>
        <w:spacing w:after="120" w:before="120"/>
        <w:jc w:val="center"/>
      </w:pPr>
      <w:r>
        <w:rPr>
          <w:rFonts w:ascii="Arial" w:cs="Arial" w:eastAsia="Arial" w:hAnsi="Arial"/>
          <w:color w:val="1A6B6B"/>
          <w:sz w:val="22"/>
          <w:szCs w:val="22"/>
        </w:rPr>
        <w:t xml:space="preserve">Telegraham Tested   •   Current version: v2.1.2</w:t>
      </w:r>
    </w:p>
    <w:p>
      <w:pPr>
        <w:spacing w:after="80" w:before="200"/>
      </w:pPr>
    </w:p>
    <w:p>
      <w:pPr>
        <w:spacing w:after="100" w:before="60"/>
      </w:pPr>
      <w:r>
        <w:rPr>
          <w:rFonts w:ascii="Arial" w:cs="Arial" w:eastAsia="Arial" w:hAnsi="Arial"/>
          <w:color w:val="000000"/>
          <w:sz w:val="22"/>
          <w:szCs w:val="22"/>
        </w:rPr>
        <w:t xml:space="preserve">This document records every change made to the firmware since the original blueprint draft. Versions follow semantic numbering: the first digit marks a complete rewrite, the second marks new features or significant fixes, the third marks patches and bug fixes.</w:t>
      </w:r>
    </w:p>
    <w:p>
      <w:pPr>
        <w:spacing w:after="60"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1600"/>
        <w:gridCol w:w="1600"/>
        <w:gridCol w:w="1600"/>
        <w:gridCol w:w="1360"/>
      </w:tblGrid>
      <w:tr>
        <w:tc>
          <w:tcPr>
            <w:tcW w:type="dxa" w:w="1600"/>
            <w:tcBorders>
              <w:top w:val="single" w:color="2E7D32" w:sz="1"/>
              <w:left w:val="single" w:color="2E7D32" w:sz="1"/>
              <w:bottom w:val="single" w:color="2E7D32" w:sz="1"/>
              <w:right w:val="single" w:color="2E7D32" w:sz="1"/>
            </w:tcBorders>
            <w:shd w:fill="EAF4EA" w:val="clear"/>
            <w:tcMar>
              <w:top w:type="dxa" w:w="60"/>
              <w:left w:type="dxa" w:w="100"/>
              <w:bottom w:type="dxa" w:w="60"/>
              <w:right w:type="dxa" w:w="100"/>
            </w:tcMar>
          </w:tcPr>
          <w:p>
            <w:pPr>
              <w:jc w:val="center"/>
            </w:pPr>
            <w:r>
              <w:rPr>
                <w:rFonts w:ascii="Arial" w:cs="Arial" w:eastAsia="Arial" w:hAnsi="Arial"/>
                <w:b/>
                <w:bCs/>
                <w:color w:val="2E7D32"/>
                <w:sz w:val="18"/>
                <w:szCs w:val="18"/>
              </w:rPr>
              <w:t xml:space="preserve">ADDED</w:t>
            </w:r>
          </w:p>
        </w:tc>
        <w:tc>
          <w:tcPr>
            <w:tcW w:type="dxa" w:w="1600"/>
            <w:tcBorders>
              <w:top w:val="single" w:color="1A56A0" w:sz="1"/>
              <w:left w:val="single" w:color="1A56A0" w:sz="1"/>
              <w:bottom w:val="single" w:color="1A56A0" w:sz="1"/>
              <w:right w:val="single" w:color="1A56A0" w:sz="1"/>
            </w:tcBorders>
            <w:shd w:fill="E8F0FC" w:val="clear"/>
            <w:tcMar>
              <w:top w:type="dxa" w:w="60"/>
              <w:left w:type="dxa" w:w="100"/>
              <w:bottom w:type="dxa" w:w="60"/>
              <w:right w:type="dxa" w:w="100"/>
            </w:tcMar>
          </w:tcPr>
          <w:p>
            <w:pPr>
              <w:jc w:val="center"/>
            </w:pPr>
            <w:r>
              <w:rPr>
                <w:rFonts w:ascii="Arial" w:cs="Arial" w:eastAsia="Arial" w:hAnsi="Arial"/>
                <w:b/>
                <w:bCs/>
                <w:color w:val="1A56A0"/>
                <w:sz w:val="18"/>
                <w:szCs w:val="18"/>
              </w:rPr>
              <w:t xml:space="preserve">FIXED</w:t>
            </w:r>
          </w:p>
        </w:tc>
        <w:tc>
          <w:tcPr>
            <w:tcW w:type="dxa" w:w="1600"/>
            <w:tcBorders>
              <w:top w:val="single" w:color="C87800" w:sz="1"/>
              <w:left w:val="single" w:color="C87800" w:sz="1"/>
              <w:bottom w:val="single" w:color="C87800" w:sz="1"/>
              <w:right w:val="single" w:color="C87800" w:sz="1"/>
            </w:tcBorders>
            <w:shd w:fill="FFF8E6" w:val="clear"/>
            <w:tcMar>
              <w:top w:type="dxa" w:w="60"/>
              <w:left w:type="dxa" w:w="100"/>
              <w:bottom w:type="dxa" w:w="60"/>
              <w:right w:type="dxa" w:w="100"/>
            </w:tcMar>
          </w:tcPr>
          <w:p>
            <w:pPr>
              <w:jc w:val="center"/>
            </w:pPr>
            <w:r>
              <w:rPr>
                <w:rFonts w:ascii="Arial" w:cs="Arial" w:eastAsia="Arial" w:hAnsi="Arial"/>
                <w:b/>
                <w:bCs/>
                <w:color w:val="C87800"/>
                <w:sz w:val="18"/>
                <w:szCs w:val="18"/>
              </w:rPr>
              <w:t xml:space="preserve">CHANGED</w:t>
            </w:r>
          </w:p>
        </w:tc>
        <w:tc>
          <w:tcPr>
            <w:tcW w:type="dxa" w:w="1600"/>
            <w:tcBorders>
              <w:top w:val="single" w:color="C0392B" w:sz="1"/>
              <w:left w:val="single" w:color="C0392B" w:sz="1"/>
              <w:bottom w:val="single" w:color="C0392B" w:sz="1"/>
              <w:right w:val="single" w:color="C0392B" w:sz="1"/>
            </w:tcBorders>
            <w:shd w:fill="FDE8E8" w:val="clear"/>
            <w:tcMar>
              <w:top w:type="dxa" w:w="60"/>
              <w:left w:type="dxa" w:w="100"/>
              <w:bottom w:type="dxa" w:w="60"/>
              <w:right w:type="dxa" w:w="100"/>
            </w:tcMar>
          </w:tcPr>
          <w:p>
            <w:pPr>
              <w:jc w:val="center"/>
            </w:pPr>
            <w:r>
              <w:rPr>
                <w:rFonts w:ascii="Arial" w:cs="Arial" w:eastAsia="Arial" w:hAnsi="Arial"/>
                <w:b/>
                <w:bCs/>
                <w:color w:val="C0392B"/>
                <w:sz w:val="18"/>
                <w:szCs w:val="18"/>
              </w:rPr>
              <w:t xml:space="preserve">REMOVED</w:t>
            </w:r>
          </w:p>
        </w:tc>
        <w:tc>
          <w:tcPr>
            <w:tcW w:type="dxa" w:w="1600"/>
            <w:tcBorders>
              <w:top w:val="single" w:color="666666" w:sz="1"/>
              <w:left w:val="single" w:color="666666" w:sz="1"/>
              <w:bottom w:val="single" w:color="666666" w:sz="1"/>
              <w:right w:val="single" w:color="666666" w:sz="1"/>
            </w:tcBorders>
            <w:shd w:fill="F5F5F5" w:val="clear"/>
            <w:tcMar>
              <w:top w:type="dxa" w:w="60"/>
              <w:left w:type="dxa" w:w="100"/>
              <w:bottom w:type="dxa" w:w="60"/>
              <w:right w:type="dxa" w:w="100"/>
            </w:tcMar>
          </w:tcPr>
          <w:p>
            <w:pPr>
              <w:jc w:val="center"/>
            </w:pPr>
            <w:r>
              <w:rPr>
                <w:rFonts w:ascii="Arial" w:cs="Arial" w:eastAsia="Arial" w:hAnsi="Arial"/>
                <w:b/>
                <w:bCs/>
                <w:color w:val="666666"/>
                <w:sz w:val="18"/>
                <w:szCs w:val="18"/>
              </w:rPr>
              <w:t xml:space="preserve">NOTE</w:t>
            </w:r>
          </w:p>
        </w:tc>
      </w:tr>
    </w:tbl>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5560"/>
      </w:tblGrid>
      <w:tr>
        <w:tc>
          <w:tcPr>
            <w:tcW w:type="dxa" w:w="2200"/>
            <w:tcBorders>
              <w:top w:val="single" w:color="1A6B6B" w:sz="1"/>
              <w:left w:val="single" w:color="1A6B6B" w:sz="1"/>
              <w:bottom w:val="single" w:color="1A6B6B" w:sz="1"/>
              <w:right w:val="single" w:color="1A6B6B" w:sz="1"/>
            </w:tcBorders>
            <w:shd w:fill="1A6B6B" w:val="clear"/>
            <w:tcMar>
              <w:top w:type="dxa" w:w="120"/>
              <w:left w:type="dxa" w:w="200"/>
              <w:bottom w:type="dxa" w:w="120"/>
              <w:right w:type="dxa" w:w="200"/>
            </w:tcMar>
          </w:tcPr>
          <w:p>
            <w:r>
              <w:rPr>
                <w:rFonts w:ascii="Arial" w:cs="Arial" w:eastAsia="Arial" w:hAnsi="Arial"/>
                <w:b/>
                <w:bCs/>
                <w:color w:val="FFFFFF"/>
                <w:sz w:val="40"/>
                <w:szCs w:val="40"/>
              </w:rPr>
              <w:t xml:space="preserve">v2.1.2</w:t>
            </w:r>
          </w:p>
        </w:tc>
        <w:tc>
          <w:tcPr>
            <w:tcW w:type="dxa" w:w="1600"/>
            <w:tcBorders>
              <w:top w:val="single" w:color="2E7D32" w:sz="1"/>
              <w:left w:val="single" w:color="2E7D32" w:sz="1"/>
              <w:bottom w:val="single" w:color="2E7D32" w:sz="1"/>
              <w:right w:val="single" w:color="2E7D32" w:sz="1"/>
            </w:tcBorders>
            <w:shd w:fill="EAF4EA" w:val="clear"/>
            <w:tcMar>
              <w:top w:type="dxa" w:w="120"/>
              <w:left w:type="dxa" w:w="200"/>
              <w:bottom w:type="dxa" w:w="120"/>
              <w:right w:type="dxa" w:w="200"/>
            </w:tcMar>
          </w:tcPr>
          <w:p>
            <w:pPr>
              <w:jc w:val="center"/>
            </w:pPr>
            <w:r>
              <w:rPr>
                <w:rFonts w:ascii="Arial" w:cs="Arial" w:eastAsia="Arial" w:hAnsi="Arial"/>
                <w:b/>
                <w:bCs/>
                <w:color w:val="2E7D32"/>
                <w:sz w:val="22"/>
                <w:szCs w:val="22"/>
              </w:rPr>
              <w:t xml:space="preserve">CURRENT</w:t>
            </w:r>
          </w:p>
        </w:tc>
        <w:tc>
          <w:tcPr>
            <w:tcW w:type="dxa" w:w="5560"/>
            <w:tcBorders>
              <w:top w:val="single" w:color="CCCCCC" w:sz="1"/>
              <w:left w:val="single" w:color="CCCCCC" w:sz="1"/>
              <w:bottom w:val="single" w:color="CCCCCC" w:sz="1"/>
              <w:right w:val="single" w:color="CCCCCC" w:sz="1"/>
            </w:tcBorders>
            <w:shd w:fill="E6F4F4" w:val="clear"/>
            <w:tcMar>
              <w:top w:type="dxa" w:w="120"/>
              <w:left w:type="dxa" w:w="200"/>
              <w:bottom w:type="dxa" w:w="120"/>
              <w:right w:type="dxa" w:w="200"/>
            </w:tcMar>
          </w:tcPr>
          <w:p>
            <w:r>
              <w:rPr>
                <w:rFonts w:ascii="Arial" w:cs="Arial" w:eastAsia="Arial" w:hAnsi="Arial"/>
                <w:color w:val="333333"/>
                <w:sz w:val="20"/>
                <w:szCs w:val="20"/>
              </w:rPr>
              <w:t xml:space="preserve">PRIME command for first-run tubing priming</w:t>
            </w:r>
          </w:p>
        </w:tc>
      </w:tr>
    </w:tbl>
    <w:p>
      <w:pPr>
        <w:spacing w:after="60"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1A6B6B" w:sz="1"/>
              <w:left w:val="single" w:color="1A6B6B" w:sz="1"/>
              <w:bottom w:val="single" w:color="1A6B6B" w:sz="1"/>
              <w:right w:val="single" w:color="1A6B6B" w:sz="1"/>
            </w:tcBorders>
            <w:shd w:fill="2E8B8B" w:val="clear"/>
            <w:tcMar>
              <w:top w:type="dxa" w:w="70"/>
              <w:left w:type="dxa" w:w="140"/>
              <w:bottom w:type="dxa" w:w="70"/>
              <w:right w:type="dxa" w:w="140"/>
            </w:tcMar>
          </w:tcPr>
          <w:p>
            <w:r>
              <w:rPr>
                <w:rFonts w:ascii="Arial" w:cs="Arial" w:eastAsia="Arial" w:hAnsi="Arial"/>
                <w:b/>
                <w:bCs/>
                <w:color w:val="FFFFFF"/>
                <w:sz w:val="19"/>
                <w:szCs w:val="19"/>
              </w:rPr>
              <w:t xml:space="preserve">Type</w:t>
            </w:r>
          </w:p>
        </w:tc>
        <w:tc>
          <w:tcPr>
            <w:tcW w:type="dxa" w:w="7760"/>
            <w:tcBorders>
              <w:top w:val="single" w:color="1A6B6B" w:sz="1"/>
              <w:left w:val="single" w:color="1A6B6B" w:sz="1"/>
              <w:bottom w:val="single" w:color="1A6B6B" w:sz="1"/>
              <w:right w:val="single" w:color="1A6B6B" w:sz="1"/>
            </w:tcBorders>
            <w:shd w:fill="2E8B8B" w:val="clear"/>
            <w:tcMar>
              <w:top w:type="dxa" w:w="70"/>
              <w:left w:type="dxa" w:w="160"/>
              <w:bottom w:type="dxa" w:w="70"/>
              <w:right w:type="dxa" w:w="160"/>
            </w:tcMar>
          </w:tcPr>
          <w:p>
            <w:r>
              <w:rPr>
                <w:rFonts w:ascii="Arial" w:cs="Arial" w:eastAsia="Arial" w:hAnsi="Arial"/>
                <w:b/>
                <w:bCs/>
                <w:color w:val="FFFFFF"/>
                <w:sz w:val="19"/>
                <w:szCs w:val="19"/>
              </w:rPr>
              <w:t xml:space="preserve">Description</w:t>
            </w:r>
          </w:p>
        </w:tc>
      </w:tr>
      <w:tr>
        <w:tc>
          <w:tcPr>
            <w:tcW w:type="dxa" w:w="1600"/>
            <w:tcBorders>
              <w:top w:val="single" w:color="DDDDDD" w:sz="1"/>
              <w:left w:val="single" w:color="DDDDDD" w:sz="1"/>
              <w:bottom w:val="single" w:color="DDDDDD" w:sz="1"/>
              <w:right w:val="single" w:color="DDDDDD" w:sz="1"/>
            </w:tcBorders>
            <w:shd w:fill="EAF4EA" w:val="clear"/>
            <w:tcMar>
              <w:top w:type="dxa" w:w="80"/>
              <w:left w:type="dxa" w:w="140"/>
              <w:bottom w:type="dxa" w:w="80"/>
              <w:right w:type="dxa" w:w="140"/>
            </w:tcMar>
            <w:vAlign w:val="center"/>
          </w:tcPr>
          <w:p>
            <w:pPr>
              <w:jc w:val="center"/>
            </w:pPr>
            <w:r>
              <w:rPr>
                <w:rFonts w:ascii="Arial" w:cs="Arial" w:eastAsia="Arial" w:hAnsi="Arial"/>
                <w:b/>
                <w:bCs/>
                <w:color w:val="2E7D32"/>
                <w:sz w:val="19"/>
                <w:szCs w:val="19"/>
              </w:rPr>
              <w:t xml:space="preserve">ADDED</w:t>
            </w:r>
          </w:p>
        </w:tc>
        <w:tc>
          <w:tcPr>
            <w:tcW w:type="dxa" w:w="7760"/>
            <w:tcBorders>
              <w:top w:val="single" w:color="DDDDDD" w:sz="1"/>
              <w:left w:val="single" w:color="DDDDDD" w:sz="1"/>
              <w:bottom w:val="single" w:color="DDDDDD" w:sz="1"/>
              <w:right w:val="single" w:color="DDDDDD" w:sz="1"/>
            </w:tcBorders>
            <w:shd w:fill="FFFFFF" w:val="clear"/>
            <w:tcMar>
              <w:top w:type="dxa" w:w="80"/>
              <w:left w:type="dxa" w:w="160"/>
              <w:bottom w:type="dxa" w:w="80"/>
              <w:right w:type="dxa" w:w="160"/>
            </w:tcMar>
          </w:tcPr>
          <w:p>
            <w:pPr>
              <w:spacing w:after="60" w:before="0"/>
            </w:pPr>
            <w:r>
              <w:rPr>
                <w:rFonts w:ascii="Arial" w:cs="Arial" w:eastAsia="Arial" w:hAnsi="Arial"/>
                <w:color w:val="000000"/>
                <w:sz w:val="21"/>
                <w:szCs w:val="21"/>
              </w:rPr>
              <w:t xml:space="preserve">PRIME serial command — primes all tubing lines on first install.</w:t>
            </w:r>
          </w:p>
          <w:p>
            <w:pPr>
              <w:pStyle w:val="ListParagraph"/>
              <w:numPr>
                <w:ilvl w:val="0"/>
                <w:numId w:val="2"/>
              </w:numPr>
              <w:spacing w:after="30" w:before="30"/>
            </w:pPr>
            <w:r>
              <w:rPr>
                <w:rFonts w:ascii="Arial" w:cs="Arial" w:eastAsia="Arial" w:hAnsi="Arial"/>
                <w:color w:val="333333"/>
                <w:sz w:val="20"/>
                <w:szCs w:val="20"/>
              </w:rPr>
              <w:t xml:space="preserve">Runs four stages in sequence: Pump A forward 30 s, Pump A reverse 30 s, Pump B 20 s, Pump C 20 s.</w:t>
            </w:r>
          </w:p>
          <w:p>
            <w:pPr>
              <w:pStyle w:val="ListParagraph"/>
              <w:numPr>
                <w:ilvl w:val="0"/>
                <w:numId w:val="2"/>
              </w:numPr>
              <w:spacing w:after="30" w:before="30"/>
            </w:pPr>
            <w:r>
              <w:rPr>
                <w:rFonts w:ascii="Arial" w:cs="Arial" w:eastAsia="Arial" w:hAnsi="Arial"/>
                <w:color w:val="333333"/>
                <w:sz w:val="20"/>
                <w:szCs w:val="20"/>
              </w:rPr>
              <w:t xml:space="preserve">Designed for first-install use when all tubing is full of air. Standard FILL_TIME_MS was calibrated for water-filled lines and insufficient for initial priming.</w:t>
            </w:r>
          </w:p>
          <w:p>
            <w:pPr>
              <w:pStyle w:val="ListParagraph"/>
              <w:numPr>
                <w:ilvl w:val="0"/>
                <w:numId w:val="2"/>
              </w:numPr>
              <w:spacing w:after="30" w:before="30"/>
            </w:pPr>
            <w:r>
              <w:rPr>
                <w:rFonts w:ascii="Arial" w:cs="Arial" w:eastAsia="Arial" w:hAnsi="Arial"/>
                <w:color w:val="333333"/>
                <w:sz w:val="20"/>
                <w:szCs w:val="20"/>
              </w:rPr>
              <w:t xml:space="preserve">Also serves as a recovery flush after PUMPS_OFF leaves the chamber in an unknown state.</w:t>
            </w:r>
          </w:p>
          <w:p>
            <w:pPr>
              <w:pStyle w:val="ListParagraph"/>
              <w:numPr>
                <w:ilvl w:val="0"/>
                <w:numId w:val="2"/>
              </w:numPr>
              <w:spacing w:after="30" w:before="30"/>
            </w:pPr>
            <w:r>
              <w:rPr>
                <w:rFonts w:ascii="Arial" w:cs="Arial" w:eastAsia="Arial" w:hAnsi="Arial"/>
                <w:color w:val="333333"/>
                <w:sz w:val="20"/>
                <w:szCs w:val="20"/>
              </w:rPr>
              <w:t xml:space="preserve">Progress printed to Serial Monitor after each stage.</w:t>
            </w:r>
          </w:p>
        </w:tc>
      </w:tr>
      <w:tr>
        <w:tc>
          <w:tcPr>
            <w:tcW w:type="dxa" w:w="1600"/>
            <w:tcBorders>
              <w:top w:val="single" w:color="DDDDDD" w:sz="1"/>
              <w:left w:val="single" w:color="DDDDDD" w:sz="1"/>
              <w:bottom w:val="single" w:color="DDDDDD" w:sz="1"/>
              <w:right w:val="single" w:color="DDDDDD" w:sz="1"/>
            </w:tcBorders>
            <w:shd w:fill="FFF8E6" w:val="clear"/>
            <w:tcMar>
              <w:top w:type="dxa" w:w="80"/>
              <w:left w:type="dxa" w:w="140"/>
              <w:bottom w:type="dxa" w:w="80"/>
              <w:right w:type="dxa" w:w="140"/>
            </w:tcMar>
            <w:vAlign w:val="center"/>
          </w:tcPr>
          <w:p>
            <w:pPr>
              <w:jc w:val="center"/>
            </w:pPr>
            <w:r>
              <w:rPr>
                <w:rFonts w:ascii="Arial" w:cs="Arial" w:eastAsia="Arial" w:hAnsi="Arial"/>
                <w:b/>
                <w:bCs/>
                <w:color w:val="C87800"/>
                <w:sz w:val="19"/>
                <w:szCs w:val="19"/>
              </w:rPr>
              <w:t xml:space="preserve">CHANGED</w:t>
            </w:r>
          </w:p>
        </w:tc>
        <w:tc>
          <w:tcPr>
            <w:tcW w:type="dxa" w:w="7760"/>
            <w:tcBorders>
              <w:top w:val="single" w:color="DDDDDD" w:sz="1"/>
              <w:left w:val="single" w:color="DDDDDD" w:sz="1"/>
              <w:bottom w:val="single" w:color="DDDDDD" w:sz="1"/>
              <w:right w:val="single" w:color="DDDDDD" w:sz="1"/>
            </w:tcBorders>
            <w:shd w:fill="FFFFFF" w:val="clear"/>
            <w:tcMar>
              <w:top w:type="dxa" w:w="80"/>
              <w:left w:type="dxa" w:w="160"/>
              <w:bottom w:type="dxa" w:w="80"/>
              <w:right w:type="dxa" w:w="160"/>
            </w:tcMar>
          </w:tcPr>
          <w:p>
            <w:pPr>
              <w:spacing w:after="60" w:before="0"/>
            </w:pPr>
            <w:r>
              <w:rPr>
                <w:rFonts w:ascii="Arial" w:cs="Arial" w:eastAsia="Arial" w:hAnsi="Arial"/>
                <w:color w:val="000000"/>
                <w:sz w:val="21"/>
                <w:szCs w:val="21"/>
              </w:rPr>
              <w:t xml:space="preserve">All Serial.println command lists updated to include PRIME.</w:t>
            </w:r>
          </w:p>
          <w:p>
            <w:pPr>
              <w:pStyle w:val="ListParagraph"/>
              <w:numPr>
                <w:ilvl w:val="0"/>
                <w:numId w:val="2"/>
              </w:numPr>
              <w:spacing w:after="30" w:before="30"/>
            </w:pPr>
            <w:r>
              <w:rPr>
                <w:rFonts w:ascii="Arial" w:cs="Arial" w:eastAsia="Arial" w:hAnsi="Arial"/>
                <w:color w:val="333333"/>
                <w:sz w:val="20"/>
                <w:szCs w:val="20"/>
              </w:rPr>
              <w:t xml:space="preserve">Startup message now reads: CAL &lt;dKH&gt;  STATUS  PUMPS_OFF  RUN  PRIME</w:t>
            </w:r>
          </w:p>
          <w:p>
            <w:pPr>
              <w:pStyle w:val="ListParagraph"/>
              <w:numPr>
                <w:ilvl w:val="0"/>
                <w:numId w:val="2"/>
              </w:numPr>
              <w:spacing w:after="30" w:before="30"/>
            </w:pPr>
            <w:r>
              <w:rPr>
                <w:rFonts w:ascii="Arial" w:cs="Arial" w:eastAsia="Arial" w:hAnsi="Arial"/>
                <w:color w:val="333333"/>
                <w:sz w:val="20"/>
                <w:szCs w:val="20"/>
              </w:rPr>
              <w:t xml:space="preserve">Inter-cycle sleep message updated identically.</w:t>
            </w:r>
          </w:p>
        </w:tc>
      </w:tr>
    </w:tbl>
    <w:p>
      <w:pPr>
        <w:spacing w:after="40" w:before="80"/>
      </w:pPr>
    </w:p>
    <w:p>
      <w:pPr>
        <w:spacing w:after="100" w:before="60"/>
      </w:pPr>
      <w:r>
        <w:rPr>
          <w:rFonts w:ascii="Arial" w:cs="Arial" w:eastAsia="Arial" w:hAnsi="Arial"/>
          <w:color w:val="666666"/>
          <w:sz w:val="22"/>
          <w:szCs w:val="22"/>
        </w:rPr>
        <w:t xml:space="preserve">Prompted by: first-run setup question — how to initially activate the reference reservoir.</w:t>
      </w:r>
    </w:p>
    <w:p>
      <w:pPr>
        <w:spacing w:after="4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5560"/>
      </w:tblGrid>
      <w:tr>
        <w:tc>
          <w:tcPr>
            <w:tcW w:type="dxa" w:w="2200"/>
            <w:tcBorders>
              <w:top w:val="single" w:color="1A6B6B" w:sz="1"/>
              <w:left w:val="single" w:color="1A6B6B" w:sz="1"/>
              <w:bottom w:val="single" w:color="1A6B6B" w:sz="1"/>
              <w:right w:val="single" w:color="1A6B6B" w:sz="1"/>
            </w:tcBorders>
            <w:shd w:fill="1A6B6B" w:val="clear"/>
            <w:tcMar>
              <w:top w:type="dxa" w:w="120"/>
              <w:left w:type="dxa" w:w="200"/>
              <w:bottom w:type="dxa" w:w="120"/>
              <w:right w:type="dxa" w:w="200"/>
            </w:tcMar>
          </w:tcPr>
          <w:p>
            <w:r>
              <w:rPr>
                <w:rFonts w:ascii="Arial" w:cs="Arial" w:eastAsia="Arial" w:hAnsi="Arial"/>
                <w:b/>
                <w:bCs/>
                <w:color w:val="FFFFFF"/>
                <w:sz w:val="40"/>
                <w:szCs w:val="40"/>
              </w:rPr>
              <w:t xml:space="preserve">v2.1.1</w:t>
            </w:r>
          </w:p>
        </w:tc>
        <w:tc>
          <w:tcPr>
            <w:tcW w:type="dxa" w:w="1600"/>
            <w:tcBorders>
              <w:top w:val="single" w:color="1A56A0" w:sz="1"/>
              <w:left w:val="single" w:color="1A56A0" w:sz="1"/>
              <w:bottom w:val="single" w:color="1A56A0" w:sz="1"/>
              <w:right w:val="single" w:color="1A56A0" w:sz="1"/>
            </w:tcBorders>
            <w:shd w:fill="E8F0FC" w:val="clear"/>
            <w:tcMar>
              <w:top w:type="dxa" w:w="120"/>
              <w:left w:type="dxa" w:w="200"/>
              <w:bottom w:type="dxa" w:w="120"/>
              <w:right w:type="dxa" w:w="200"/>
            </w:tcMar>
          </w:tcPr>
          <w:p>
            <w:pPr>
              <w:jc w:val="center"/>
            </w:pPr>
            <w:r>
              <w:rPr>
                <w:rFonts w:ascii="Arial" w:cs="Arial" w:eastAsia="Arial" w:hAnsi="Arial"/>
                <w:b/>
                <w:bCs/>
                <w:color w:val="1A56A0"/>
                <w:sz w:val="22"/>
                <w:szCs w:val="22"/>
              </w:rPr>
              <w:t xml:space="preserve">PATCH</w:t>
            </w:r>
          </w:p>
        </w:tc>
        <w:tc>
          <w:tcPr>
            <w:tcW w:type="dxa" w:w="5560"/>
            <w:tcBorders>
              <w:top w:val="single" w:color="CCCCCC" w:sz="1"/>
              <w:left w:val="single" w:color="CCCCCC" w:sz="1"/>
              <w:bottom w:val="single" w:color="CCCCCC" w:sz="1"/>
              <w:right w:val="single" w:color="CCCCCC" w:sz="1"/>
            </w:tcBorders>
            <w:shd w:fill="E6F4F4" w:val="clear"/>
            <w:tcMar>
              <w:top w:type="dxa" w:w="120"/>
              <w:left w:type="dxa" w:w="200"/>
              <w:bottom w:type="dxa" w:w="120"/>
              <w:right w:type="dxa" w:w="200"/>
            </w:tcMar>
          </w:tcPr>
          <w:p>
            <w:r>
              <w:rPr>
                <w:rFonts w:ascii="Arial" w:cs="Arial" w:eastAsia="Arial" w:hAnsi="Arial"/>
                <w:color w:val="333333"/>
                <w:sz w:val="20"/>
                <w:szCs w:val="20"/>
              </w:rPr>
              <w:t xml:space="preserve">Reference water abort safety fix</w:t>
            </w:r>
          </w:p>
        </w:tc>
      </w:tr>
    </w:tbl>
    <w:p>
      <w:pPr>
        <w:spacing w:after="60"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1A6B6B" w:sz="1"/>
              <w:left w:val="single" w:color="1A6B6B" w:sz="1"/>
              <w:bottom w:val="single" w:color="1A6B6B" w:sz="1"/>
              <w:right w:val="single" w:color="1A6B6B" w:sz="1"/>
            </w:tcBorders>
            <w:shd w:fill="2E8B8B" w:val="clear"/>
            <w:tcMar>
              <w:top w:type="dxa" w:w="70"/>
              <w:left w:type="dxa" w:w="140"/>
              <w:bottom w:type="dxa" w:w="70"/>
              <w:right w:type="dxa" w:w="140"/>
            </w:tcMar>
          </w:tcPr>
          <w:p>
            <w:r>
              <w:rPr>
                <w:rFonts w:ascii="Arial" w:cs="Arial" w:eastAsia="Arial" w:hAnsi="Arial"/>
                <w:b/>
                <w:bCs/>
                <w:color w:val="FFFFFF"/>
                <w:sz w:val="19"/>
                <w:szCs w:val="19"/>
              </w:rPr>
              <w:t xml:space="preserve">Type</w:t>
            </w:r>
          </w:p>
        </w:tc>
        <w:tc>
          <w:tcPr>
            <w:tcW w:type="dxa" w:w="7760"/>
            <w:tcBorders>
              <w:top w:val="single" w:color="1A6B6B" w:sz="1"/>
              <w:left w:val="single" w:color="1A6B6B" w:sz="1"/>
              <w:bottom w:val="single" w:color="1A6B6B" w:sz="1"/>
              <w:right w:val="single" w:color="1A6B6B" w:sz="1"/>
            </w:tcBorders>
            <w:shd w:fill="2E8B8B" w:val="clear"/>
            <w:tcMar>
              <w:top w:type="dxa" w:w="70"/>
              <w:left w:type="dxa" w:w="160"/>
              <w:bottom w:type="dxa" w:w="70"/>
              <w:right w:type="dxa" w:w="160"/>
            </w:tcMar>
          </w:tcPr>
          <w:p>
            <w:r>
              <w:rPr>
                <w:rFonts w:ascii="Arial" w:cs="Arial" w:eastAsia="Arial" w:hAnsi="Arial"/>
                <w:b/>
                <w:bCs/>
                <w:color w:val="FFFFFF"/>
                <w:sz w:val="19"/>
                <w:szCs w:val="19"/>
              </w:rPr>
              <w:t xml:space="preserve">Description</w:t>
            </w:r>
          </w:p>
        </w:tc>
      </w:tr>
      <w:tr>
        <w:tc>
          <w:tcPr>
            <w:tcW w:type="dxa" w:w="1600"/>
            <w:tcBorders>
              <w:top w:val="single" w:color="DDDDDD" w:sz="1"/>
              <w:left w:val="single" w:color="DDDDDD" w:sz="1"/>
              <w:bottom w:val="single" w:color="DDDDDD" w:sz="1"/>
              <w:right w:val="single" w:color="DDDDDD" w:sz="1"/>
            </w:tcBorders>
            <w:shd w:fill="E8F0FC" w:val="clear"/>
            <w:tcMar>
              <w:top w:type="dxa" w:w="80"/>
              <w:left w:type="dxa" w:w="140"/>
              <w:bottom w:type="dxa" w:w="80"/>
              <w:right w:type="dxa" w:w="140"/>
            </w:tcMar>
            <w:vAlign w:val="center"/>
          </w:tcPr>
          <w:p>
            <w:pPr>
              <w:jc w:val="center"/>
            </w:pPr>
            <w:r>
              <w:rPr>
                <w:rFonts w:ascii="Arial" w:cs="Arial" w:eastAsia="Arial" w:hAnsi="Arial"/>
                <w:b/>
                <w:bCs/>
                <w:color w:val="1A56A0"/>
                <w:sz w:val="19"/>
                <w:szCs w:val="19"/>
              </w:rPr>
              <w:t xml:space="preserve">FIXED</w:t>
            </w:r>
          </w:p>
        </w:tc>
        <w:tc>
          <w:tcPr>
            <w:tcW w:type="dxa" w:w="7760"/>
            <w:tcBorders>
              <w:top w:val="single" w:color="DDDDDD" w:sz="1"/>
              <w:left w:val="single" w:color="DDDDDD" w:sz="1"/>
              <w:bottom w:val="single" w:color="DDDDDD" w:sz="1"/>
              <w:right w:val="single" w:color="DDDDDD" w:sz="1"/>
            </w:tcBorders>
            <w:shd w:fill="FFFFFF" w:val="clear"/>
            <w:tcMar>
              <w:top w:type="dxa" w:w="80"/>
              <w:left w:type="dxa" w:w="160"/>
              <w:bottom w:type="dxa" w:w="80"/>
              <w:right w:type="dxa" w:w="160"/>
            </w:tcMar>
          </w:tcPr>
          <w:p>
            <w:pPr>
              <w:spacing w:after="60" w:before="0"/>
            </w:pPr>
            <w:r>
              <w:rPr>
                <w:rFonts w:ascii="Arial" w:cs="Arial" w:eastAsia="Arial" w:hAnsi="Arial"/>
                <w:color w:val="000000"/>
                <w:sz w:val="21"/>
                <w:szCs w:val="21"/>
              </w:rPr>
              <w:t xml:space="preserve">Reference water stranded in chamber on PUMPS_OFF during reference aeration (Bug 6).</w:t>
            </w:r>
          </w:p>
          <w:p>
            <w:pPr>
              <w:pStyle w:val="ListParagraph"/>
              <w:numPr>
                <w:ilvl w:val="0"/>
                <w:numId w:val="2"/>
              </w:numPr>
              <w:spacing w:after="30" w:before="30"/>
            </w:pPr>
            <w:r>
              <w:rPr>
                <w:rFonts w:ascii="Arial" w:cs="Arial" w:eastAsia="Arial" w:hAnsi="Arial"/>
                <w:color w:val="333333"/>
                <w:sz w:val="20"/>
                <w:szCs w:val="20"/>
              </w:rPr>
              <w:t xml:space="preserve">If PUMPS_OFF fired during runAeration() inside runReferenceCycle(), the function returned immediately on the g_abortCycle check without running PUMP_REF_REV.</w:t>
            </w:r>
          </w:p>
          <w:p>
            <w:pPr>
              <w:pStyle w:val="ListParagraph"/>
              <w:numPr>
                <w:ilvl w:val="0"/>
                <w:numId w:val="2"/>
              </w:numPr>
              <w:spacing w:after="30" w:before="30"/>
            </w:pPr>
            <w:r>
              <w:rPr>
                <w:rFonts w:ascii="Arial" w:cs="Arial" w:eastAsia="Arial" w:hAnsi="Arial"/>
                <w:color w:val="333333"/>
                <w:sz w:val="20"/>
                <w:szCs w:val="20"/>
              </w:rPr>
              <w:t xml:space="preserve">Reference water was left in the chamber. The next cycle's PUMP_REF_FWD fill would add more water to an already-full chamber, risking overflow and diluting the reference with tank water on the following tank fill.</w:t>
            </w:r>
          </w:p>
          <w:p>
            <w:pPr>
              <w:pStyle w:val="ListParagraph"/>
              <w:numPr>
                <w:ilvl w:val="0"/>
                <w:numId w:val="2"/>
              </w:numPr>
              <w:spacing w:after="30" w:before="30"/>
            </w:pPr>
            <w:r>
              <w:rPr>
                <w:rFonts w:ascii="Arial" w:cs="Arial" w:eastAsia="Arial" w:hAnsi="Arial"/>
                <w:color w:val="333333"/>
                <w:sz w:val="20"/>
                <w:szCs w:val="20"/>
              </w:rPr>
              <w:t xml:space="preserve">The tank cycle already handled abort correctly (draining to waste before returning). The reference cycle now matches: PUMP_REF_REV always runs before returning on abort.</w:t>
            </w:r>
          </w:p>
          <w:p>
            <w:pPr>
              <w:pStyle w:val="ListParagraph"/>
              <w:numPr>
                <w:ilvl w:val="0"/>
                <w:numId w:val="2"/>
              </w:numPr>
              <w:spacing w:after="30" w:before="30"/>
            </w:pPr>
            <w:r>
              <w:rPr>
                <w:rFonts w:ascii="Arial" w:cs="Arial" w:eastAsia="Arial" w:hAnsi="Arial"/>
                <w:color w:val="333333"/>
                <w:sz w:val="20"/>
                <w:szCs w:val="20"/>
              </w:rPr>
              <w:t xml:space="preserve">Both abort check points in runReferenceCycle() are fixed: the check after runAeration() and the check after runSettleDelay().</w:t>
            </w:r>
          </w:p>
        </w:tc>
      </w:tr>
    </w:tbl>
    <w:p>
      <w:pPr>
        <w:spacing w:after="40" w:before="80"/>
      </w:pPr>
    </w:p>
    <w:p>
      <w:pPr>
        <w:spacing w:after="100" w:before="60"/>
      </w:pPr>
      <w:r>
        <w:rPr>
          <w:rFonts w:ascii="Arial" w:cs="Arial" w:eastAsia="Arial" w:hAnsi="Arial"/>
          <w:color w:val="666666"/>
          <w:sz w:val="22"/>
          <w:szCs w:val="22"/>
        </w:rPr>
        <w:t xml:space="preserve">Identified during: end-to-end process review ("will the tester work?").</w:t>
      </w:r>
    </w:p>
    <w:p>
      <w:pPr>
        <w:spacing w:after="4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5560"/>
      </w:tblGrid>
      <w:tr>
        <w:tc>
          <w:tcPr>
            <w:tcW w:type="dxa" w:w="2200"/>
            <w:tcBorders>
              <w:top w:val="single" w:color="1A6B6B" w:sz="1"/>
              <w:left w:val="single" w:color="1A6B6B" w:sz="1"/>
              <w:bottom w:val="single" w:color="1A6B6B" w:sz="1"/>
              <w:right w:val="single" w:color="1A6B6B" w:sz="1"/>
            </w:tcBorders>
            <w:shd w:fill="1A6B6B" w:val="clear"/>
            <w:tcMar>
              <w:top w:type="dxa" w:w="120"/>
              <w:left w:type="dxa" w:w="200"/>
              <w:bottom w:type="dxa" w:w="120"/>
              <w:right w:type="dxa" w:w="200"/>
            </w:tcMar>
          </w:tcPr>
          <w:p>
            <w:r>
              <w:rPr>
                <w:rFonts w:ascii="Arial" w:cs="Arial" w:eastAsia="Arial" w:hAnsi="Arial"/>
                <w:b/>
                <w:bCs/>
                <w:color w:val="FFFFFF"/>
                <w:sz w:val="40"/>
                <w:szCs w:val="40"/>
              </w:rPr>
              <w:t xml:space="preserve">v2.1</w:t>
            </w:r>
          </w:p>
        </w:tc>
        <w:tc>
          <w:tcPr>
            <w:tcW w:type="dxa" w:w="1600"/>
            <w:tcBorders>
              <w:top w:val="single" w:color="1A6B6B" w:sz="1"/>
              <w:left w:val="single" w:color="1A6B6B" w:sz="1"/>
              <w:bottom w:val="single" w:color="1A6B6B" w:sz="1"/>
              <w:right w:val="single" w:color="1A6B6B" w:sz="1"/>
            </w:tcBorders>
            <w:shd w:fill="E6F4F4" w:val="clear"/>
            <w:tcMar>
              <w:top w:type="dxa" w:w="120"/>
              <w:left w:type="dxa" w:w="200"/>
              <w:bottom w:type="dxa" w:w="120"/>
              <w:right w:type="dxa" w:w="200"/>
            </w:tcMar>
          </w:tcPr>
          <w:p>
            <w:pPr>
              <w:jc w:val="center"/>
            </w:pPr>
            <w:r>
              <w:rPr>
                <w:rFonts w:ascii="Arial" w:cs="Arial" w:eastAsia="Arial" w:hAnsi="Arial"/>
                <w:b/>
                <w:bCs/>
                <w:color w:val="1A6B6B"/>
                <w:sz w:val="22"/>
                <w:szCs w:val="22"/>
              </w:rPr>
              <w:t xml:space="preserve">RELEASE</w:t>
            </w:r>
          </w:p>
        </w:tc>
        <w:tc>
          <w:tcPr>
            <w:tcW w:type="dxa" w:w="5560"/>
            <w:tcBorders>
              <w:top w:val="single" w:color="CCCCCC" w:sz="1"/>
              <w:left w:val="single" w:color="CCCCCC" w:sz="1"/>
              <w:bottom w:val="single" w:color="CCCCCC" w:sz="1"/>
              <w:right w:val="single" w:color="CCCCCC" w:sz="1"/>
            </w:tcBorders>
            <w:shd w:fill="E6F4F4" w:val="clear"/>
            <w:tcMar>
              <w:top w:type="dxa" w:w="120"/>
              <w:left w:type="dxa" w:w="200"/>
              <w:bottom w:type="dxa" w:w="120"/>
              <w:right w:type="dxa" w:w="200"/>
            </w:tcMar>
          </w:tcPr>
          <w:p>
            <w:r>
              <w:rPr>
                <w:rFonts w:ascii="Arial" w:cs="Arial" w:eastAsia="Arial" w:hAnsi="Arial"/>
                <w:color w:val="333333"/>
                <w:sz w:val="20"/>
                <w:szCs w:val="20"/>
              </w:rPr>
              <w:t xml:space="preserve">First deployable version — five v2 bugs resolved</w:t>
            </w:r>
          </w:p>
        </w:tc>
      </w:tr>
    </w:tbl>
    <w:p>
      <w:pPr>
        <w:spacing w:after="60"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1A6B6B" w:sz="1"/>
              <w:left w:val="single" w:color="1A6B6B" w:sz="1"/>
              <w:bottom w:val="single" w:color="1A6B6B" w:sz="1"/>
              <w:right w:val="single" w:color="1A6B6B" w:sz="1"/>
            </w:tcBorders>
            <w:shd w:fill="2E8B8B" w:val="clear"/>
            <w:tcMar>
              <w:top w:type="dxa" w:w="70"/>
              <w:left w:type="dxa" w:w="140"/>
              <w:bottom w:type="dxa" w:w="70"/>
              <w:right w:type="dxa" w:w="140"/>
            </w:tcMar>
          </w:tcPr>
          <w:p>
            <w:r>
              <w:rPr>
                <w:rFonts w:ascii="Arial" w:cs="Arial" w:eastAsia="Arial" w:hAnsi="Arial"/>
                <w:b/>
                <w:bCs/>
                <w:color w:val="FFFFFF"/>
                <w:sz w:val="19"/>
                <w:szCs w:val="19"/>
              </w:rPr>
              <w:t xml:space="preserve">Type</w:t>
            </w:r>
          </w:p>
        </w:tc>
        <w:tc>
          <w:tcPr>
            <w:tcW w:type="dxa" w:w="7760"/>
            <w:tcBorders>
              <w:top w:val="single" w:color="1A6B6B" w:sz="1"/>
              <w:left w:val="single" w:color="1A6B6B" w:sz="1"/>
              <w:bottom w:val="single" w:color="1A6B6B" w:sz="1"/>
              <w:right w:val="single" w:color="1A6B6B" w:sz="1"/>
            </w:tcBorders>
            <w:shd w:fill="2E8B8B" w:val="clear"/>
            <w:tcMar>
              <w:top w:type="dxa" w:w="70"/>
              <w:left w:type="dxa" w:w="160"/>
              <w:bottom w:type="dxa" w:w="70"/>
              <w:right w:type="dxa" w:w="160"/>
            </w:tcMar>
          </w:tcPr>
          <w:p>
            <w:r>
              <w:rPr>
                <w:rFonts w:ascii="Arial" w:cs="Arial" w:eastAsia="Arial" w:hAnsi="Arial"/>
                <w:b/>
                <w:bCs/>
                <w:color w:val="FFFFFF"/>
                <w:sz w:val="19"/>
                <w:szCs w:val="19"/>
              </w:rPr>
              <w:t xml:space="preserve">Description</w:t>
            </w:r>
          </w:p>
        </w:tc>
      </w:tr>
      <w:tr>
        <w:tc>
          <w:tcPr>
            <w:tcW w:type="dxa" w:w="1600"/>
            <w:tcBorders>
              <w:top w:val="single" w:color="DDDDDD" w:sz="1"/>
              <w:left w:val="single" w:color="DDDDDD" w:sz="1"/>
              <w:bottom w:val="single" w:color="DDDDDD" w:sz="1"/>
              <w:right w:val="single" w:color="DDDDDD" w:sz="1"/>
            </w:tcBorders>
            <w:shd w:fill="E8F0FC" w:val="clear"/>
            <w:tcMar>
              <w:top w:type="dxa" w:w="80"/>
              <w:left w:type="dxa" w:w="140"/>
              <w:bottom w:type="dxa" w:w="80"/>
              <w:right w:type="dxa" w:w="140"/>
            </w:tcMar>
            <w:vAlign w:val="center"/>
          </w:tcPr>
          <w:p>
            <w:pPr>
              <w:jc w:val="center"/>
            </w:pPr>
            <w:r>
              <w:rPr>
                <w:rFonts w:ascii="Arial" w:cs="Arial" w:eastAsia="Arial" w:hAnsi="Arial"/>
                <w:b/>
                <w:bCs/>
                <w:color w:val="1A56A0"/>
                <w:sz w:val="19"/>
                <w:szCs w:val="19"/>
              </w:rPr>
              <w:t xml:space="preserve">FIXED</w:t>
            </w:r>
          </w:p>
        </w:tc>
        <w:tc>
          <w:tcPr>
            <w:tcW w:type="dxa" w:w="7760"/>
            <w:tcBorders>
              <w:top w:val="single" w:color="DDDDDD" w:sz="1"/>
              <w:left w:val="single" w:color="DDDDDD" w:sz="1"/>
              <w:bottom w:val="single" w:color="DDDDDD" w:sz="1"/>
              <w:right w:val="single" w:color="DDDDDD" w:sz="1"/>
            </w:tcBorders>
            <w:shd w:fill="FFFFFF" w:val="clear"/>
            <w:tcMar>
              <w:top w:type="dxa" w:w="80"/>
              <w:left w:type="dxa" w:w="160"/>
              <w:bottom w:type="dxa" w:w="80"/>
              <w:right w:type="dxa" w:w="160"/>
            </w:tcMar>
          </w:tcPr>
          <w:p>
            <w:pPr>
              <w:spacing w:after="60" w:before="0"/>
            </w:pPr>
            <w:r>
              <w:rPr>
                <w:rFonts w:ascii="Arial" w:cs="Arial" w:eastAsia="Arial" w:hAnsi="Arial"/>
                <w:color w:val="000000"/>
                <w:sz w:val="21"/>
                <w:szCs w:val="21"/>
              </w:rPr>
              <w:t xml:space="preserve">Bug 1 — ESP32 SPI flash pin collision (CRITICAL).</w:t>
            </w:r>
          </w:p>
          <w:p>
            <w:pPr>
              <w:pStyle w:val="ListParagraph"/>
              <w:numPr>
                <w:ilvl w:val="0"/>
                <w:numId w:val="2"/>
              </w:numPr>
              <w:spacing w:after="30" w:before="30"/>
            </w:pPr>
            <w:r>
              <w:rPr>
                <w:rFonts w:ascii="Arial" w:cs="Arial" w:eastAsia="Arial" w:hAnsi="Arial"/>
                <w:color w:val="333333"/>
                <w:sz w:val="20"/>
                <w:szCs w:val="20"/>
              </w:rPr>
              <w:t xml:space="preserve">PUMP_TANK reassigned: GPIO 6 → GPIO 18.</w:t>
            </w:r>
          </w:p>
          <w:p>
            <w:pPr>
              <w:pStyle w:val="ListParagraph"/>
              <w:numPr>
                <w:ilvl w:val="0"/>
                <w:numId w:val="2"/>
              </w:numPr>
              <w:spacing w:after="30" w:before="30"/>
            </w:pPr>
            <w:r>
              <w:rPr>
                <w:rFonts w:ascii="Arial" w:cs="Arial" w:eastAsia="Arial" w:hAnsi="Arial"/>
                <w:color w:val="333333"/>
                <w:sz w:val="20"/>
                <w:szCs w:val="20"/>
              </w:rPr>
              <w:t xml:space="preserve">PUMP_WASTE reassigned: GPIO 7 → GPIO 5.</w:t>
            </w:r>
          </w:p>
          <w:p>
            <w:pPr>
              <w:pStyle w:val="ListParagraph"/>
              <w:numPr>
                <w:ilvl w:val="0"/>
                <w:numId w:val="2"/>
              </w:numPr>
              <w:spacing w:after="30" w:before="30"/>
            </w:pPr>
            <w:r>
              <w:rPr>
                <w:rFonts w:ascii="Arial" w:cs="Arial" w:eastAsia="Arial" w:hAnsi="Arial"/>
                <w:color w:val="333333"/>
                <w:sz w:val="20"/>
                <w:szCs w:val="20"/>
              </w:rPr>
              <w:t xml:space="preserve">AIR_PUMP reassigned: GPIO 8 → GPIO 4.</w:t>
            </w:r>
          </w:p>
          <w:p>
            <w:pPr>
              <w:pStyle w:val="ListParagraph"/>
              <w:numPr>
                <w:ilvl w:val="0"/>
                <w:numId w:val="2"/>
              </w:numPr>
              <w:spacing w:after="30" w:before="30"/>
            </w:pPr>
            <w:r>
              <w:rPr>
                <w:rFonts w:ascii="Arial" w:cs="Arial" w:eastAsia="Arial" w:hAnsi="Arial"/>
                <w:color w:val="333333"/>
                <w:sz w:val="20"/>
                <w:szCs w:val="20"/>
              </w:rPr>
              <w:t xml:space="preserve">GPIO 6–11 are connected to internal SPI flash on all ESP32 DevKit boards. Driving them as outputs corrupts flash or crashes the board on every pump cycle. Added prominent warning comment in pin definitions.</w:t>
            </w:r>
          </w:p>
        </w:tc>
      </w:tr>
      <w:tr>
        <w:tc>
          <w:tcPr>
            <w:tcW w:type="dxa" w:w="1600"/>
            <w:tcBorders>
              <w:top w:val="single" w:color="DDDDDD" w:sz="1"/>
              <w:left w:val="single" w:color="DDDDDD" w:sz="1"/>
              <w:bottom w:val="single" w:color="DDDDDD" w:sz="1"/>
              <w:right w:val="single" w:color="DDDDDD" w:sz="1"/>
            </w:tcBorders>
            <w:shd w:fill="E8F0FC" w:val="clear"/>
            <w:tcMar>
              <w:top w:type="dxa" w:w="80"/>
              <w:left w:type="dxa" w:w="140"/>
              <w:bottom w:type="dxa" w:w="80"/>
              <w:right w:type="dxa" w:w="140"/>
            </w:tcMar>
            <w:vAlign w:val="center"/>
          </w:tcPr>
          <w:p>
            <w:pPr>
              <w:jc w:val="center"/>
            </w:pPr>
            <w:r>
              <w:rPr>
                <w:rFonts w:ascii="Arial" w:cs="Arial" w:eastAsia="Arial" w:hAnsi="Arial"/>
                <w:b/>
                <w:bCs/>
                <w:color w:val="1A56A0"/>
                <w:sz w:val="19"/>
                <w:szCs w:val="19"/>
              </w:rPr>
              <w:t xml:space="preserve">FIXED</w:t>
            </w:r>
          </w:p>
        </w:tc>
        <w:tc>
          <w:tcPr>
            <w:tcW w:type="dxa" w:w="7760"/>
            <w:tcBorders>
              <w:top w:val="single" w:color="DDDDDD" w:sz="1"/>
              <w:left w:val="single" w:color="DDDDDD" w:sz="1"/>
              <w:bottom w:val="single" w:color="DDDDDD" w:sz="1"/>
              <w:right w:val="single" w:color="DDDDDD" w:sz="1"/>
            </w:tcBorders>
            <w:shd w:fill="FFFFFF" w:val="clear"/>
            <w:tcMar>
              <w:top w:type="dxa" w:w="80"/>
              <w:left w:type="dxa" w:w="160"/>
              <w:bottom w:type="dxa" w:w="80"/>
              <w:right w:type="dxa" w:w="160"/>
            </w:tcMar>
          </w:tcPr>
          <w:p>
            <w:pPr>
              <w:spacing w:after="60" w:before="0"/>
            </w:pPr>
            <w:r>
              <w:rPr>
                <w:rFonts w:ascii="Arial" w:cs="Arial" w:eastAsia="Arial" w:hAnsi="Arial"/>
                <w:color w:val="000000"/>
                <w:sz w:val="21"/>
                <w:szCs w:val="21"/>
              </w:rPr>
              <w:t xml:space="preserve">Bug 2 — all delays fully blocking.</w:t>
            </w:r>
          </w:p>
          <w:p>
            <w:pPr>
              <w:pStyle w:val="ListParagraph"/>
              <w:numPr>
                <w:ilvl w:val="0"/>
                <w:numId w:val="2"/>
              </w:numPr>
              <w:spacing w:after="30" w:before="30"/>
            </w:pPr>
            <w:r>
              <w:rPr>
                <w:rFonts w:ascii="Arial" w:cs="Arial" w:eastAsia="Arial" w:hAnsi="Arial"/>
                <w:color w:val="333333"/>
                <w:sz w:val="20"/>
                <w:szCs w:val="20"/>
              </w:rPr>
              <w:t xml:space="preserve">runAeration() refactored to a millis()-based non-blocking loop calling handleSerialCommands() every 100 ms. PUMPS_OFF, STATUS, CAL, and RUN now work during 10-minute aeration.</w:t>
            </w:r>
          </w:p>
          <w:p>
            <w:pPr>
              <w:pStyle w:val="ListParagraph"/>
              <w:numPr>
                <w:ilvl w:val="0"/>
                <w:numId w:val="2"/>
              </w:numPr>
              <w:spacing w:after="30" w:before="30"/>
            </w:pPr>
            <w:r>
              <w:rPr>
                <w:rFonts w:ascii="Arial" w:cs="Arial" w:eastAsia="Arial" w:hAnsi="Arial"/>
                <w:color w:val="333333"/>
                <w:sz w:val="20"/>
                <w:szCs w:val="20"/>
              </w:rPr>
              <w:t xml:space="preserve">sleepUntilNextCycle() refactored identically. All commands work during the 4-hour inter-cycle sleep.</w:t>
            </w:r>
          </w:p>
          <w:p>
            <w:pPr>
              <w:pStyle w:val="ListParagraph"/>
              <w:numPr>
                <w:ilvl w:val="0"/>
                <w:numId w:val="2"/>
              </w:numPr>
              <w:spacing w:after="30" w:before="30"/>
            </w:pPr>
            <w:r>
              <w:rPr>
                <w:rFonts w:ascii="Arial" w:cs="Arial" w:eastAsia="Arial" w:hAnsi="Arial"/>
                <w:color w:val="333333"/>
                <w:sz w:val="20"/>
                <w:szCs w:val="20"/>
              </w:rPr>
              <w:t xml:space="preserve">runSettleDelay() added as a new non-blocking settle function that also checks g_abortCycle. Previously a plain delay() call.</w:t>
            </w:r>
          </w:p>
        </w:tc>
      </w:tr>
      <w:tr>
        <w:tc>
          <w:tcPr>
            <w:tcW w:type="dxa" w:w="1600"/>
            <w:tcBorders>
              <w:top w:val="single" w:color="DDDDDD" w:sz="1"/>
              <w:left w:val="single" w:color="DDDDDD" w:sz="1"/>
              <w:bottom w:val="single" w:color="DDDDDD" w:sz="1"/>
              <w:right w:val="single" w:color="DDDDDD" w:sz="1"/>
            </w:tcBorders>
            <w:shd w:fill="E8F0FC" w:val="clear"/>
            <w:tcMar>
              <w:top w:type="dxa" w:w="80"/>
              <w:left w:type="dxa" w:w="140"/>
              <w:bottom w:type="dxa" w:w="80"/>
              <w:right w:type="dxa" w:w="140"/>
            </w:tcMar>
            <w:vAlign w:val="center"/>
          </w:tcPr>
          <w:p>
            <w:pPr>
              <w:jc w:val="center"/>
            </w:pPr>
            <w:r>
              <w:rPr>
                <w:rFonts w:ascii="Arial" w:cs="Arial" w:eastAsia="Arial" w:hAnsi="Arial"/>
                <w:b/>
                <w:bCs/>
                <w:color w:val="1A56A0"/>
                <w:sz w:val="19"/>
                <w:szCs w:val="19"/>
              </w:rPr>
              <w:t xml:space="preserve">FIXED</w:t>
            </w:r>
          </w:p>
        </w:tc>
        <w:tc>
          <w:tcPr>
            <w:tcW w:type="dxa" w:w="7760"/>
            <w:tcBorders>
              <w:top w:val="single" w:color="DDDDDD" w:sz="1"/>
              <w:left w:val="single" w:color="DDDDDD" w:sz="1"/>
              <w:bottom w:val="single" w:color="DDDDDD" w:sz="1"/>
              <w:right w:val="single" w:color="DDDDDD" w:sz="1"/>
            </w:tcBorders>
            <w:shd w:fill="FFFFFF" w:val="clear"/>
            <w:tcMar>
              <w:top w:type="dxa" w:w="80"/>
              <w:left w:type="dxa" w:w="160"/>
              <w:bottom w:type="dxa" w:w="80"/>
              <w:right w:type="dxa" w:w="160"/>
            </w:tcMar>
          </w:tcPr>
          <w:p>
            <w:pPr>
              <w:spacing w:after="60" w:before="0"/>
            </w:pPr>
            <w:r>
              <w:rPr>
                <w:rFonts w:ascii="Arial" w:cs="Arial" w:eastAsia="Arial" w:hAnsi="Arial"/>
                <w:color w:val="000000"/>
                <w:sz w:val="21"/>
                <w:szCs w:val="21"/>
              </w:rPr>
              <w:t xml:space="preserve">Bug 3 — real sensor code absent.</w:t>
            </w:r>
          </w:p>
          <w:p>
            <w:pPr>
              <w:pStyle w:val="ListParagraph"/>
              <w:numPr>
                <w:ilvl w:val="0"/>
                <w:numId w:val="2"/>
              </w:numPr>
              <w:spacing w:after="30" w:before="30"/>
            </w:pPr>
            <w:r>
              <w:rPr>
                <w:rFonts w:ascii="Arial" w:cs="Arial" w:eastAsia="Arial" w:hAnsi="Arial"/>
                <w:color w:val="333333"/>
                <w:sz w:val="20"/>
                <w:szCs w:val="20"/>
              </w:rPr>
              <w:t xml:space="preserve">Atlas EZO-pH UART interface implemented in #else branch: sends R\r, waits 1000 ms, reads and validates response.</w:t>
            </w:r>
          </w:p>
          <w:p>
            <w:pPr>
              <w:pStyle w:val="ListParagraph"/>
              <w:numPr>
                <w:ilvl w:val="0"/>
                <w:numId w:val="2"/>
              </w:numPr>
              <w:spacing w:after="30" w:before="30"/>
            </w:pPr>
            <w:r>
              <w:rPr>
                <w:rFonts w:ascii="Arial" w:cs="Arial" w:eastAsia="Arial" w:hAnsi="Arial"/>
                <w:color w:val="333333"/>
                <w:sz w:val="20"/>
                <w:szCs w:val="20"/>
              </w:rPr>
              <w:t xml:space="preserve">DS18B20 OneWire implemented in #else branch: requestTemperatures(), getTempCByIndex(0), disconnect detection returns NAN.</w:t>
            </w:r>
          </w:p>
          <w:p>
            <w:pPr>
              <w:pStyle w:val="ListParagraph"/>
              <w:numPr>
                <w:ilvl w:val="0"/>
                <w:numId w:val="2"/>
              </w:numPr>
              <w:spacing w:after="30" w:before="30"/>
            </w:pPr>
            <w:r>
              <w:rPr>
                <w:rFonts w:ascii="Arial" w:cs="Arial" w:eastAsia="Arial" w:hAnsi="Arial"/>
                <w:color w:val="333333"/>
                <w:sz w:val="20"/>
                <w:szCs w:val="20"/>
              </w:rPr>
              <w:t xml:space="preserve">SIMULATION_MODE false now compiles to functional hardware code. Libraries OneWire and DallasTemperature required when false.</w:t>
            </w:r>
          </w:p>
        </w:tc>
      </w:tr>
      <w:tr>
        <w:tc>
          <w:tcPr>
            <w:tcW w:type="dxa" w:w="1600"/>
            <w:tcBorders>
              <w:top w:val="single" w:color="DDDDDD" w:sz="1"/>
              <w:left w:val="single" w:color="DDDDDD" w:sz="1"/>
              <w:bottom w:val="single" w:color="DDDDDD" w:sz="1"/>
              <w:right w:val="single" w:color="DDDDDD" w:sz="1"/>
            </w:tcBorders>
            <w:shd w:fill="E8F0FC" w:val="clear"/>
            <w:tcMar>
              <w:top w:type="dxa" w:w="80"/>
              <w:left w:type="dxa" w:w="140"/>
              <w:bottom w:type="dxa" w:w="80"/>
              <w:right w:type="dxa" w:w="140"/>
            </w:tcMar>
            <w:vAlign w:val="center"/>
          </w:tcPr>
          <w:p>
            <w:pPr>
              <w:jc w:val="center"/>
            </w:pPr>
            <w:r>
              <w:rPr>
                <w:rFonts w:ascii="Arial" w:cs="Arial" w:eastAsia="Arial" w:hAnsi="Arial"/>
                <w:b/>
                <w:bCs/>
                <w:color w:val="1A56A0"/>
                <w:sz w:val="19"/>
                <w:szCs w:val="19"/>
              </w:rPr>
              <w:t xml:space="preserve">FIXED</w:t>
            </w:r>
          </w:p>
        </w:tc>
        <w:tc>
          <w:tcPr>
            <w:tcW w:type="dxa" w:w="7760"/>
            <w:tcBorders>
              <w:top w:val="single" w:color="DDDDDD" w:sz="1"/>
              <w:left w:val="single" w:color="DDDDDD" w:sz="1"/>
              <w:bottom w:val="single" w:color="DDDDDD" w:sz="1"/>
              <w:right w:val="single" w:color="DDDDDD" w:sz="1"/>
            </w:tcBorders>
            <w:shd w:fill="FFFFFF" w:val="clear"/>
            <w:tcMar>
              <w:top w:type="dxa" w:w="80"/>
              <w:left w:type="dxa" w:w="160"/>
              <w:bottom w:type="dxa" w:w="80"/>
              <w:right w:type="dxa" w:w="160"/>
            </w:tcMar>
          </w:tcPr>
          <w:p>
            <w:pPr>
              <w:spacing w:after="60" w:before="0"/>
            </w:pPr>
            <w:r>
              <w:rPr>
                <w:rFonts w:ascii="Arial" w:cs="Arial" w:eastAsia="Arial" w:hAnsi="Arial"/>
                <w:color w:val="000000"/>
                <w:sz w:val="21"/>
                <w:szCs w:val="21"/>
              </w:rPr>
              <w:t xml:space="preserve">Bug 4 — EZO temperature compensation not called before pH reads.</w:t>
            </w:r>
          </w:p>
          <w:p>
            <w:pPr>
              <w:pStyle w:val="ListParagraph"/>
              <w:numPr>
                <w:ilvl w:val="0"/>
                <w:numId w:val="2"/>
              </w:numPr>
              <w:spacing w:after="30" w:before="30"/>
            </w:pPr>
            <w:r>
              <w:rPr>
                <w:rFonts w:ascii="Arial" w:cs="Arial" w:eastAsia="Arial" w:hAnsi="Arial"/>
                <w:color w:val="333333"/>
                <w:sz w:val="20"/>
                <w:szCs w:val="20"/>
              </w:rPr>
              <w:t xml:space="preserve">ezo_setTempComp(tempC) added and called at the start of each readAveragedSample() session.</w:t>
            </w:r>
          </w:p>
          <w:p>
            <w:pPr>
              <w:pStyle w:val="ListParagraph"/>
              <w:numPr>
                <w:ilvl w:val="0"/>
                <w:numId w:val="2"/>
              </w:numPr>
              <w:spacing w:after="30" w:before="30"/>
            </w:pPr>
            <w:r>
              <w:rPr>
                <w:rFonts w:ascii="Arial" w:cs="Arial" w:eastAsia="Arial" w:hAnsi="Arial"/>
                <w:color w:val="333333"/>
                <w:sz w:val="20"/>
                <w:szCs w:val="20"/>
              </w:rPr>
              <w:t xml:space="preserve">Sends T,XX.XX\r to EZO before averaging begins so the Nernst slope correction uses the measured temperature.</w:t>
            </w:r>
          </w:p>
          <w:p>
            <w:pPr>
              <w:pStyle w:val="ListParagraph"/>
              <w:numPr>
                <w:ilvl w:val="0"/>
                <w:numId w:val="2"/>
              </w:numPr>
              <w:spacing w:after="30" w:before="30"/>
            </w:pPr>
            <w:r>
              <w:rPr>
                <w:rFonts w:ascii="Arial" w:cs="Arial" w:eastAsia="Arial" w:hAnsi="Arial"/>
                <w:color w:val="333333"/>
                <w:sz w:val="20"/>
                <w:szCs w:val="20"/>
              </w:rPr>
              <w:t xml:space="preserve">In SIMULATION_MODE the function is a safe no-op with (void)tempC to suppress the unused-parameter warning.</w:t>
            </w:r>
          </w:p>
        </w:tc>
      </w:tr>
      <w:tr>
        <w:tc>
          <w:tcPr>
            <w:tcW w:type="dxa" w:w="1600"/>
            <w:tcBorders>
              <w:top w:val="single" w:color="DDDDDD" w:sz="1"/>
              <w:left w:val="single" w:color="DDDDDD" w:sz="1"/>
              <w:bottom w:val="single" w:color="DDDDDD" w:sz="1"/>
              <w:right w:val="single" w:color="DDDDDD" w:sz="1"/>
            </w:tcBorders>
            <w:shd w:fill="E8F0FC" w:val="clear"/>
            <w:tcMar>
              <w:top w:type="dxa" w:w="80"/>
              <w:left w:type="dxa" w:w="140"/>
              <w:bottom w:type="dxa" w:w="80"/>
              <w:right w:type="dxa" w:w="140"/>
            </w:tcMar>
            <w:vAlign w:val="center"/>
          </w:tcPr>
          <w:p>
            <w:pPr>
              <w:jc w:val="center"/>
            </w:pPr>
            <w:r>
              <w:rPr>
                <w:rFonts w:ascii="Arial" w:cs="Arial" w:eastAsia="Arial" w:hAnsi="Arial"/>
                <w:b/>
                <w:bCs/>
                <w:color w:val="1A56A0"/>
                <w:sz w:val="19"/>
                <w:szCs w:val="19"/>
              </w:rPr>
              <w:t xml:space="preserve">FIXED</w:t>
            </w:r>
          </w:p>
        </w:tc>
        <w:tc>
          <w:tcPr>
            <w:tcW w:type="dxa" w:w="7760"/>
            <w:tcBorders>
              <w:top w:val="single" w:color="DDDDDD" w:sz="1"/>
              <w:left w:val="single" w:color="DDDDDD" w:sz="1"/>
              <w:bottom w:val="single" w:color="DDDDDD" w:sz="1"/>
              <w:right w:val="single" w:color="DDDDDD" w:sz="1"/>
            </w:tcBorders>
            <w:shd w:fill="FFFFFF" w:val="clear"/>
            <w:tcMar>
              <w:top w:type="dxa" w:w="80"/>
              <w:left w:type="dxa" w:w="160"/>
              <w:bottom w:type="dxa" w:w="80"/>
              <w:right w:type="dxa" w:w="160"/>
            </w:tcMar>
          </w:tcPr>
          <w:p>
            <w:pPr>
              <w:spacing w:after="60" w:before="0"/>
            </w:pPr>
            <w:r>
              <w:rPr>
                <w:rFonts w:ascii="Arial" w:cs="Arial" w:eastAsia="Arial" w:hAnsi="Arial"/>
                <w:color w:val="000000"/>
                <w:sz w:val="21"/>
                <w:szCs w:val="21"/>
              </w:rPr>
              <w:t xml:space="preserve">Bug 5 — pHStdDev computed but silently discarded.</w:t>
            </w:r>
          </w:p>
          <w:p>
            <w:pPr>
              <w:pStyle w:val="ListParagraph"/>
              <w:numPr>
                <w:ilvl w:val="0"/>
                <w:numId w:val="2"/>
              </w:numPr>
              <w:spacing w:after="30" w:before="30"/>
            </w:pPr>
            <w:r>
              <w:rPr>
                <w:rFonts w:ascii="Arial" w:cs="Arial" w:eastAsia="Arial" w:hAnsi="Arial"/>
                <w:color w:val="333333"/>
                <w:sz w:val="20"/>
                <w:szCs w:val="20"/>
              </w:rPr>
              <w:t xml:space="preserve">PH_SD_WARN_THRESHOLD constant added, default 0.010.</w:t>
            </w:r>
          </w:p>
          <w:p>
            <w:pPr>
              <w:pStyle w:val="ListParagraph"/>
              <w:numPr>
                <w:ilvl w:val="0"/>
                <w:numId w:val="2"/>
              </w:numPr>
              <w:spacing w:after="30" w:before="30"/>
            </w:pPr>
            <w:r>
              <w:rPr>
                <w:rFonts w:ascii="Arial" w:cs="Arial" w:eastAsia="Arial" w:hAnsi="Arial"/>
                <w:color w:val="333333"/>
                <w:sz w:val="20"/>
                <w:szCs w:val="20"/>
              </w:rPr>
              <w:t xml:space="preserve">After averaging, SD checked against threshold. If exceeded, warning printed noting likely incomplete CO₂ equilibration and suggesting AERATE_TIME_MS increase.</w:t>
            </w:r>
          </w:p>
        </w:tc>
      </w:tr>
      <w:tr>
        <w:tc>
          <w:tcPr>
            <w:tcW w:type="dxa" w:w="1600"/>
            <w:tcBorders>
              <w:top w:val="single" w:color="DDDDDD" w:sz="1"/>
              <w:left w:val="single" w:color="DDDDDD" w:sz="1"/>
              <w:bottom w:val="single" w:color="DDDDDD" w:sz="1"/>
              <w:right w:val="single" w:color="DDDDDD" w:sz="1"/>
            </w:tcBorders>
            <w:shd w:fill="EAF4EA" w:val="clear"/>
            <w:tcMar>
              <w:top w:type="dxa" w:w="80"/>
              <w:left w:type="dxa" w:w="140"/>
              <w:bottom w:type="dxa" w:w="80"/>
              <w:right w:type="dxa" w:w="140"/>
            </w:tcMar>
            <w:vAlign w:val="center"/>
          </w:tcPr>
          <w:p>
            <w:pPr>
              <w:jc w:val="center"/>
            </w:pPr>
            <w:r>
              <w:rPr>
                <w:rFonts w:ascii="Arial" w:cs="Arial" w:eastAsia="Arial" w:hAnsi="Arial"/>
                <w:b/>
                <w:bCs/>
                <w:color w:val="2E7D32"/>
                <w:sz w:val="19"/>
                <w:szCs w:val="19"/>
              </w:rPr>
              <w:t xml:space="preserve">ADDED</w:t>
            </w:r>
          </w:p>
        </w:tc>
        <w:tc>
          <w:tcPr>
            <w:tcW w:type="dxa" w:w="7760"/>
            <w:tcBorders>
              <w:top w:val="single" w:color="DDDDDD" w:sz="1"/>
              <w:left w:val="single" w:color="DDDDDD" w:sz="1"/>
              <w:bottom w:val="single" w:color="DDDDDD" w:sz="1"/>
              <w:right w:val="single" w:color="DDDDDD" w:sz="1"/>
            </w:tcBorders>
            <w:shd w:fill="FFFFFF" w:val="clear"/>
            <w:tcMar>
              <w:top w:type="dxa" w:w="80"/>
              <w:left w:type="dxa" w:w="160"/>
              <w:bottom w:type="dxa" w:w="80"/>
              <w:right w:type="dxa" w:w="160"/>
            </w:tcMar>
          </w:tcPr>
          <w:p>
            <w:pPr>
              <w:spacing w:after="60" w:before="0"/>
            </w:pPr>
            <w:r>
              <w:rPr>
                <w:rFonts w:ascii="Arial" w:cs="Arial" w:eastAsia="Arial" w:hAnsi="Arial"/>
                <w:color w:val="000000"/>
                <w:sz w:val="21"/>
                <w:szCs w:val="21"/>
              </w:rPr>
              <w:t xml:space="preserve">g_forceRun and g_abortCycle global flags introduced.</w:t>
            </w:r>
          </w:p>
          <w:p>
            <w:pPr>
              <w:pStyle w:val="ListParagraph"/>
              <w:numPr>
                <w:ilvl w:val="0"/>
                <w:numId w:val="2"/>
              </w:numPr>
              <w:spacing w:after="30" w:before="30"/>
            </w:pPr>
            <w:r>
              <w:rPr>
                <w:rFonts w:ascii="Arial" w:cs="Arial" w:eastAsia="Arial" w:hAnsi="Arial"/>
                <w:color w:val="333333"/>
                <w:sz w:val="20"/>
                <w:szCs w:val="20"/>
              </w:rPr>
              <w:t xml:space="preserve">g_abortCycle set by PUMPS_OFF; checked in non-blocking loops to exit cleanly.</w:t>
            </w:r>
          </w:p>
          <w:p>
            <w:pPr>
              <w:pStyle w:val="ListParagraph"/>
              <w:numPr>
                <w:ilvl w:val="0"/>
                <w:numId w:val="2"/>
              </w:numPr>
              <w:spacing w:after="30" w:before="30"/>
            </w:pPr>
            <w:r>
              <w:rPr>
                <w:rFonts w:ascii="Arial" w:cs="Arial" w:eastAsia="Arial" w:hAnsi="Arial"/>
                <w:color w:val="333333"/>
                <w:sz w:val="20"/>
                <w:szCs w:val="20"/>
              </w:rPr>
              <w:t xml:space="preserve">g_forceRun set by RUN command; checked in sleepUntilNextCycle() to exit early.</w:t>
            </w:r>
          </w:p>
        </w:tc>
      </w:tr>
      <w:tr>
        <w:tc>
          <w:tcPr>
            <w:tcW w:type="dxa" w:w="1600"/>
            <w:tcBorders>
              <w:top w:val="single" w:color="DDDDDD" w:sz="1"/>
              <w:left w:val="single" w:color="DDDDDD" w:sz="1"/>
              <w:bottom w:val="single" w:color="DDDDDD" w:sz="1"/>
              <w:right w:val="single" w:color="DDDDDD" w:sz="1"/>
            </w:tcBorders>
            <w:shd w:fill="EAF4EA" w:val="clear"/>
            <w:tcMar>
              <w:top w:type="dxa" w:w="80"/>
              <w:left w:type="dxa" w:w="140"/>
              <w:bottom w:type="dxa" w:w="80"/>
              <w:right w:type="dxa" w:w="140"/>
            </w:tcMar>
            <w:vAlign w:val="center"/>
          </w:tcPr>
          <w:p>
            <w:pPr>
              <w:jc w:val="center"/>
            </w:pPr>
            <w:r>
              <w:rPr>
                <w:rFonts w:ascii="Arial" w:cs="Arial" w:eastAsia="Arial" w:hAnsi="Arial"/>
                <w:b/>
                <w:bCs/>
                <w:color w:val="2E7D32"/>
                <w:sz w:val="19"/>
                <w:szCs w:val="19"/>
              </w:rPr>
              <w:t xml:space="preserve">ADDED</w:t>
            </w:r>
          </w:p>
        </w:tc>
        <w:tc>
          <w:tcPr>
            <w:tcW w:type="dxa" w:w="7760"/>
            <w:tcBorders>
              <w:top w:val="single" w:color="DDDDDD" w:sz="1"/>
              <w:left w:val="single" w:color="DDDDDD" w:sz="1"/>
              <w:bottom w:val="single" w:color="DDDDDD" w:sz="1"/>
              <w:right w:val="single" w:color="DDDDDD" w:sz="1"/>
            </w:tcBorders>
            <w:shd w:fill="FFFFFF" w:val="clear"/>
            <w:tcMar>
              <w:top w:type="dxa" w:w="80"/>
              <w:left w:type="dxa" w:w="160"/>
              <w:bottom w:type="dxa" w:w="80"/>
              <w:right w:type="dxa" w:w="160"/>
            </w:tcMar>
          </w:tcPr>
          <w:p>
            <w:pPr>
              <w:spacing w:after="60" w:before="0"/>
            </w:pPr>
            <w:r>
              <w:rPr>
                <w:rFonts w:ascii="Arial" w:cs="Arial" w:eastAsia="Arial" w:hAnsi="Arial"/>
                <w:color w:val="000000"/>
                <w:sz w:val="21"/>
                <w:szCs w:val="21"/>
              </w:rPr>
              <w:t xml:space="preserve">RUN serial command added.</w:t>
            </w:r>
          </w:p>
          <w:p>
            <w:pPr>
              <w:pStyle w:val="ListParagraph"/>
              <w:numPr>
                <w:ilvl w:val="0"/>
                <w:numId w:val="2"/>
              </w:numPr>
              <w:spacing w:after="30" w:before="30"/>
            </w:pPr>
            <w:r>
              <w:rPr>
                <w:rFonts w:ascii="Arial" w:cs="Arial" w:eastAsia="Arial" w:hAnsi="Arial"/>
                <w:color w:val="333333"/>
                <w:sz w:val="20"/>
                <w:szCs w:val="20"/>
              </w:rPr>
              <w:t xml:space="preserve">Triggers an immediate measurement cycle from the inter-cycle sleep without waiting for TEST_INTERVAL_MS.</w:t>
            </w:r>
          </w:p>
        </w:tc>
      </w:tr>
      <w:tr>
        <w:tc>
          <w:tcPr>
            <w:tcW w:type="dxa" w:w="1600"/>
            <w:tcBorders>
              <w:top w:val="single" w:color="DDDDDD" w:sz="1"/>
              <w:left w:val="single" w:color="DDDDDD" w:sz="1"/>
              <w:bottom w:val="single" w:color="DDDDDD" w:sz="1"/>
              <w:right w:val="single" w:color="DDDDDD" w:sz="1"/>
            </w:tcBorders>
            <w:shd w:fill="EAF4EA" w:val="clear"/>
            <w:tcMar>
              <w:top w:type="dxa" w:w="80"/>
              <w:left w:type="dxa" w:w="140"/>
              <w:bottom w:type="dxa" w:w="80"/>
              <w:right w:type="dxa" w:w="140"/>
            </w:tcMar>
            <w:vAlign w:val="center"/>
          </w:tcPr>
          <w:p>
            <w:pPr>
              <w:jc w:val="center"/>
            </w:pPr>
            <w:r>
              <w:rPr>
                <w:rFonts w:ascii="Arial" w:cs="Arial" w:eastAsia="Arial" w:hAnsi="Arial"/>
                <w:b/>
                <w:bCs/>
                <w:color w:val="2E7D32"/>
                <w:sz w:val="19"/>
                <w:szCs w:val="19"/>
              </w:rPr>
              <w:t xml:space="preserve">ADDED</w:t>
            </w:r>
          </w:p>
        </w:tc>
        <w:tc>
          <w:tcPr>
            <w:tcW w:type="dxa" w:w="7760"/>
            <w:tcBorders>
              <w:top w:val="single" w:color="DDDDDD" w:sz="1"/>
              <w:left w:val="single" w:color="DDDDDD" w:sz="1"/>
              <w:bottom w:val="single" w:color="DDDDDD" w:sz="1"/>
              <w:right w:val="single" w:color="DDDDDD" w:sz="1"/>
            </w:tcBorders>
            <w:shd w:fill="FFFFFF" w:val="clear"/>
            <w:tcMar>
              <w:top w:type="dxa" w:w="80"/>
              <w:left w:type="dxa" w:w="160"/>
              <w:bottom w:type="dxa" w:w="80"/>
              <w:right w:type="dxa" w:w="160"/>
            </w:tcMar>
          </w:tcPr>
          <w:p>
            <w:pPr>
              <w:spacing w:after="60" w:before="0"/>
            </w:pPr>
            <w:r>
              <w:rPr>
                <w:rFonts w:ascii="Arial" w:cs="Arial" w:eastAsia="Arial" w:hAnsi="Arial"/>
                <w:color w:val="000000"/>
                <w:sz w:val="21"/>
                <w:szCs w:val="21"/>
              </w:rPr>
              <w:t xml:space="preserve">Complete forward declarations for all functions.</w:t>
            </w:r>
          </w:p>
          <w:p>
            <w:pPr>
              <w:pStyle w:val="ListParagraph"/>
              <w:numPr>
                <w:ilvl w:val="0"/>
                <w:numId w:val="2"/>
              </w:numPr>
              <w:spacing w:after="30" w:before="30"/>
            </w:pPr>
            <w:r>
              <w:rPr>
                <w:rFonts w:ascii="Arial" w:cs="Arial" w:eastAsia="Arial" w:hAnsi="Arial"/>
                <w:color w:val="333333"/>
                <w:sz w:val="20"/>
                <w:szCs w:val="20"/>
              </w:rPr>
              <w:t xml:space="preserve">Arduino IDE auto-generates prototypes; this was missing for non-IDE build environments (PlatformIO, Makefile).</w:t>
            </w:r>
          </w:p>
          <w:p>
            <w:pPr>
              <w:pStyle w:val="ListParagraph"/>
              <w:numPr>
                <w:ilvl w:val="0"/>
                <w:numId w:val="2"/>
              </w:numPr>
              <w:spacing w:after="30" w:before="30"/>
            </w:pPr>
            <w:r>
              <w:rPr>
                <w:rFonts w:ascii="Arial" w:cs="Arial" w:eastAsia="Arial" w:hAnsi="Arial"/>
                <w:color w:val="333333"/>
                <w:sz w:val="20"/>
                <w:szCs w:val="20"/>
              </w:rPr>
              <w:t xml:space="preserve">Verified with g++ -std=c++11 -Wall -Wextra: zero errors, zero code warnings.</w:t>
            </w:r>
          </w:p>
        </w:tc>
      </w:tr>
    </w:tbl>
    <w:p>
      <w:pPr>
        <w:spacing w:after="40" w:before="80"/>
      </w:pPr>
    </w:p>
    <w:p>
      <w:pPr>
        <w:spacing w:after="100" w:before="60"/>
      </w:pPr>
      <w:r>
        <w:rPr>
          <w:rFonts w:ascii="Arial" w:cs="Arial" w:eastAsia="Arial" w:hAnsi="Arial"/>
          <w:color w:val="666666"/>
          <w:sz w:val="22"/>
          <w:szCs w:val="22"/>
        </w:rPr>
        <w:t xml:space="preserve">Verified with: g++ syntax check using Arduino/ESP32 stub headers. All 5 bugs confirmed resolved, formula math verified against validated Python carbonate chemistry engine.</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5560"/>
      </w:tblGrid>
      <w:tr>
        <w:tc>
          <w:tcPr>
            <w:tcW w:type="dxa" w:w="2200"/>
            <w:tcBorders>
              <w:top w:val="single" w:color="1A6B6B" w:sz="1"/>
              <w:left w:val="single" w:color="1A6B6B" w:sz="1"/>
              <w:bottom w:val="single" w:color="1A6B6B" w:sz="1"/>
              <w:right w:val="single" w:color="1A6B6B" w:sz="1"/>
            </w:tcBorders>
            <w:shd w:fill="1A6B6B" w:val="clear"/>
            <w:tcMar>
              <w:top w:type="dxa" w:w="120"/>
              <w:left w:type="dxa" w:w="200"/>
              <w:bottom w:type="dxa" w:w="120"/>
              <w:right w:type="dxa" w:w="200"/>
            </w:tcMar>
          </w:tcPr>
          <w:p>
            <w:r>
              <w:rPr>
                <w:rFonts w:ascii="Arial" w:cs="Arial" w:eastAsia="Arial" w:hAnsi="Arial"/>
                <w:b/>
                <w:bCs/>
                <w:color w:val="FFFFFF"/>
                <w:sz w:val="40"/>
                <w:szCs w:val="40"/>
              </w:rPr>
              <w:t xml:space="preserve">v2</w:t>
            </w:r>
          </w:p>
        </w:tc>
        <w:tc>
          <w:tcPr>
            <w:tcW w:type="dxa" w:w="1600"/>
            <w:tcBorders>
              <w:top w:val="single" w:color="C87800" w:sz="1"/>
              <w:left w:val="single" w:color="C87800" w:sz="1"/>
              <w:bottom w:val="single" w:color="C87800" w:sz="1"/>
              <w:right w:val="single" w:color="C87800" w:sz="1"/>
            </w:tcBorders>
            <w:shd w:fill="FFF8E6" w:val="clear"/>
            <w:tcMar>
              <w:top w:type="dxa" w:w="120"/>
              <w:left w:type="dxa" w:w="200"/>
              <w:bottom w:type="dxa" w:w="120"/>
              <w:right w:type="dxa" w:w="200"/>
            </w:tcMar>
          </w:tcPr>
          <w:p>
            <w:pPr>
              <w:jc w:val="center"/>
            </w:pPr>
            <w:r>
              <w:rPr>
                <w:rFonts w:ascii="Arial" w:cs="Arial" w:eastAsia="Arial" w:hAnsi="Arial"/>
                <w:b/>
                <w:bCs/>
                <w:color w:val="C87800"/>
                <w:sz w:val="22"/>
                <w:szCs w:val="22"/>
              </w:rPr>
              <w:t xml:space="preserve">BASELINE</w:t>
            </w:r>
          </w:p>
        </w:tc>
        <w:tc>
          <w:tcPr>
            <w:tcW w:type="dxa" w:w="5560"/>
            <w:tcBorders>
              <w:top w:val="single" w:color="CCCCCC" w:sz="1"/>
              <w:left w:val="single" w:color="CCCCCC" w:sz="1"/>
              <w:bottom w:val="single" w:color="CCCCCC" w:sz="1"/>
              <w:right w:val="single" w:color="CCCCCC" w:sz="1"/>
            </w:tcBorders>
            <w:shd w:fill="E6F4F4" w:val="clear"/>
            <w:tcMar>
              <w:top w:type="dxa" w:w="120"/>
              <w:left w:type="dxa" w:w="200"/>
              <w:bottom w:type="dxa" w:w="120"/>
              <w:right w:type="dxa" w:w="200"/>
            </w:tcMar>
          </w:tcPr>
          <w:p>
            <w:r>
              <w:rPr>
                <w:rFonts w:ascii="Arial" w:cs="Arial" w:eastAsia="Arial" w:hAnsi="Arial"/>
                <w:color w:val="333333"/>
                <w:sz w:val="20"/>
                <w:szCs w:val="20"/>
              </w:rPr>
              <w:t xml:space="preserve">Uploaded blueprint revision — not deployable</w:t>
            </w:r>
          </w:p>
        </w:tc>
      </w:tr>
    </w:tbl>
    <w:p>
      <w:pPr>
        <w:spacing w:after="60" w:before="60"/>
      </w:pPr>
    </w:p>
    <w:p>
      <w:pPr>
        <w:spacing w:after="100" w:before="60"/>
      </w:pPr>
      <w:r>
        <w:rPr>
          <w:rFonts w:ascii="Arial" w:cs="Arial" w:eastAsia="Arial" w:hAnsi="Arial"/>
          <w:color w:val="666666"/>
          <w:sz w:val="22"/>
          <w:szCs w:val="22"/>
        </w:rPr>
        <w:t xml:space="preserve">Source: Alkalinity_Tester_Microcontroller_Code_v2.docx (uploaded document). Significant redesign over v1 but five bugs prevent deployment.</w:t>
      </w:r>
    </w:p>
    <w:p>
      <w:pPr>
        <w:spacing w:after="60"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1A6B6B" w:sz="1"/>
              <w:left w:val="single" w:color="1A6B6B" w:sz="1"/>
              <w:bottom w:val="single" w:color="1A6B6B" w:sz="1"/>
              <w:right w:val="single" w:color="1A6B6B" w:sz="1"/>
            </w:tcBorders>
            <w:shd w:fill="2E8B8B" w:val="clear"/>
            <w:tcMar>
              <w:top w:type="dxa" w:w="70"/>
              <w:left w:type="dxa" w:w="140"/>
              <w:bottom w:type="dxa" w:w="70"/>
              <w:right w:type="dxa" w:w="140"/>
            </w:tcMar>
          </w:tcPr>
          <w:p>
            <w:r>
              <w:rPr>
                <w:rFonts w:ascii="Arial" w:cs="Arial" w:eastAsia="Arial" w:hAnsi="Arial"/>
                <w:b/>
                <w:bCs/>
                <w:color w:val="FFFFFF"/>
                <w:sz w:val="19"/>
                <w:szCs w:val="19"/>
              </w:rPr>
              <w:t xml:space="preserve">Type</w:t>
            </w:r>
          </w:p>
        </w:tc>
        <w:tc>
          <w:tcPr>
            <w:tcW w:type="dxa" w:w="7760"/>
            <w:tcBorders>
              <w:top w:val="single" w:color="1A6B6B" w:sz="1"/>
              <w:left w:val="single" w:color="1A6B6B" w:sz="1"/>
              <w:bottom w:val="single" w:color="1A6B6B" w:sz="1"/>
              <w:right w:val="single" w:color="1A6B6B" w:sz="1"/>
            </w:tcBorders>
            <w:shd w:fill="2E8B8B" w:val="clear"/>
            <w:tcMar>
              <w:top w:type="dxa" w:w="70"/>
              <w:left w:type="dxa" w:w="160"/>
              <w:bottom w:type="dxa" w:w="70"/>
              <w:right w:type="dxa" w:w="160"/>
            </w:tcMar>
          </w:tcPr>
          <w:p>
            <w:r>
              <w:rPr>
                <w:rFonts w:ascii="Arial" w:cs="Arial" w:eastAsia="Arial" w:hAnsi="Arial"/>
                <w:b/>
                <w:bCs/>
                <w:color w:val="FFFFFF"/>
                <w:sz w:val="19"/>
                <w:szCs w:val="19"/>
              </w:rPr>
              <w:t xml:space="preserve">Description</w:t>
            </w:r>
          </w:p>
        </w:tc>
      </w:tr>
      <w:tr>
        <w:tc>
          <w:tcPr>
            <w:tcW w:type="dxa" w:w="1600"/>
            <w:tcBorders>
              <w:top w:val="single" w:color="DDDDDD" w:sz="1"/>
              <w:left w:val="single" w:color="DDDDDD" w:sz="1"/>
              <w:bottom w:val="single" w:color="DDDDDD" w:sz="1"/>
              <w:right w:val="single" w:color="DDDDDD" w:sz="1"/>
            </w:tcBorders>
            <w:shd w:fill="E8F0FC" w:val="clear"/>
            <w:tcMar>
              <w:top w:type="dxa" w:w="80"/>
              <w:left w:type="dxa" w:w="140"/>
              <w:bottom w:type="dxa" w:w="80"/>
              <w:right w:type="dxa" w:w="140"/>
            </w:tcMar>
            <w:vAlign w:val="center"/>
          </w:tcPr>
          <w:p>
            <w:pPr>
              <w:jc w:val="center"/>
            </w:pPr>
            <w:r>
              <w:rPr>
                <w:rFonts w:ascii="Arial" w:cs="Arial" w:eastAsia="Arial" w:hAnsi="Arial"/>
                <w:b/>
                <w:bCs/>
                <w:color w:val="1A56A0"/>
                <w:sz w:val="19"/>
                <w:szCs w:val="19"/>
              </w:rPr>
              <w:t xml:space="preserve">FIXED</w:t>
            </w:r>
          </w:p>
        </w:tc>
        <w:tc>
          <w:tcPr>
            <w:tcW w:type="dxa" w:w="7760"/>
            <w:tcBorders>
              <w:top w:val="single" w:color="DDDDDD" w:sz="1"/>
              <w:left w:val="single" w:color="DDDDDD" w:sz="1"/>
              <w:bottom w:val="single" w:color="DDDDDD" w:sz="1"/>
              <w:right w:val="single" w:color="DDDDDD" w:sz="1"/>
            </w:tcBorders>
            <w:shd w:fill="FFFFFF" w:val="clear"/>
            <w:tcMar>
              <w:top w:type="dxa" w:w="80"/>
              <w:left w:type="dxa" w:w="160"/>
              <w:bottom w:type="dxa" w:w="80"/>
              <w:right w:type="dxa" w:w="160"/>
            </w:tcMar>
          </w:tcPr>
          <w:p>
            <w:pPr>
              <w:spacing w:after="60" w:before="0"/>
            </w:pPr>
            <w:r>
              <w:rPr>
                <w:rFonts w:ascii="Arial" w:cs="Arial" w:eastAsia="Arial" w:hAnsi="Arial"/>
                <w:color w:val="000000"/>
                <w:sz w:val="21"/>
                <w:szCs w:val="21"/>
              </w:rPr>
              <w:t xml:space="preserve">Units mismatch in master formula (from v1).</w:t>
            </w:r>
          </w:p>
          <w:p>
            <w:pPr>
              <w:pStyle w:val="ListParagraph"/>
              <w:numPr>
                <w:ilvl w:val="0"/>
                <w:numId w:val="2"/>
              </w:numPr>
              <w:spacing w:after="30" w:before="30"/>
            </w:pPr>
            <w:r>
              <w:rPr>
                <w:rFonts w:ascii="Arial" w:cs="Arial" w:eastAsia="Arial" w:hAnsi="Arial"/>
                <w:color w:val="333333"/>
                <w:sz w:val="20"/>
                <w:szCs w:val="20"/>
              </w:rPr>
              <w:t xml:space="preserve">TA_ref_anchor now converted from dKH to eq/L (× 1/2800) before formula runs.</w:t>
            </w:r>
          </w:p>
          <w:p>
            <w:pPr>
              <w:pStyle w:val="ListParagraph"/>
              <w:numPr>
                <w:ilvl w:val="0"/>
                <w:numId w:val="2"/>
              </w:numPr>
              <w:spacing w:after="30" w:before="30"/>
            </w:pPr>
            <w:r>
              <w:rPr>
                <w:rFonts w:ascii="Arial" w:cs="Arial" w:eastAsia="Arial" w:hAnsi="Arial"/>
                <w:color w:val="333333"/>
                <w:sz w:val="20"/>
                <w:szCs w:val="20"/>
              </w:rPr>
              <w:t xml:space="preserve">Result converted back to dKH (× 2800) at output.</w:t>
            </w:r>
          </w:p>
          <w:p>
            <w:pPr>
              <w:pStyle w:val="ListParagraph"/>
              <w:numPr>
                <w:ilvl w:val="0"/>
                <w:numId w:val="2"/>
              </w:numPr>
              <w:spacing w:after="30" w:before="30"/>
            </w:pPr>
            <w:r>
              <w:rPr>
                <w:rFonts w:ascii="Arial" w:cs="Arial" w:eastAsia="Arial" w:hAnsi="Arial"/>
                <w:color w:val="333333"/>
                <w:sz w:val="20"/>
                <w:szCs w:val="20"/>
              </w:rPr>
              <w:t xml:space="preserve">BA_ref and BA_tank remain in eq/L throughout. All arithmetic in consistent units.</w:t>
            </w:r>
          </w:p>
          <w:p>
            <w:pPr>
              <w:pStyle w:val="ListParagraph"/>
              <w:numPr>
                <w:ilvl w:val="0"/>
                <w:numId w:val="2"/>
              </w:numPr>
              <w:spacing w:after="30" w:before="30"/>
            </w:pPr>
            <w:r>
              <w:rPr>
                <w:rFonts w:ascii="Arial" w:cs="Arial" w:eastAsia="Arial" w:hAnsi="Arial"/>
                <w:color w:val="333333"/>
                <w:sz w:val="20"/>
                <w:szCs w:val="20"/>
              </w:rPr>
              <w:t xml:space="preserve">Note: bug was self-masking in v1 because BA ≈ 2% of TA; numerical error was only ∼0.004 dKH at typical reef values, but conceptually wrong.</w:t>
            </w:r>
          </w:p>
        </w:tc>
      </w:tr>
      <w:tr>
        <w:tc>
          <w:tcPr>
            <w:tcW w:type="dxa" w:w="1600"/>
            <w:tcBorders>
              <w:top w:val="single" w:color="DDDDDD" w:sz="1"/>
              <w:left w:val="single" w:color="DDDDDD" w:sz="1"/>
              <w:bottom w:val="single" w:color="DDDDDD" w:sz="1"/>
              <w:right w:val="single" w:color="DDDDDD" w:sz="1"/>
            </w:tcBorders>
            <w:shd w:fill="FFF8E6" w:val="clear"/>
            <w:tcMar>
              <w:top w:type="dxa" w:w="80"/>
              <w:left w:type="dxa" w:w="140"/>
              <w:bottom w:type="dxa" w:w="80"/>
              <w:right w:type="dxa" w:w="140"/>
            </w:tcMar>
            <w:vAlign w:val="center"/>
          </w:tcPr>
          <w:p>
            <w:pPr>
              <w:jc w:val="center"/>
            </w:pPr>
            <w:r>
              <w:rPr>
                <w:rFonts w:ascii="Arial" w:cs="Arial" w:eastAsia="Arial" w:hAnsi="Arial"/>
                <w:b/>
                <w:bCs/>
                <w:color w:val="C87800"/>
                <w:sz w:val="19"/>
                <w:szCs w:val="19"/>
              </w:rPr>
              <w:t xml:space="preserve">CHANGED</w:t>
            </w:r>
          </w:p>
        </w:tc>
        <w:tc>
          <w:tcPr>
            <w:tcW w:type="dxa" w:w="7760"/>
            <w:tcBorders>
              <w:top w:val="single" w:color="DDDDDD" w:sz="1"/>
              <w:left w:val="single" w:color="DDDDDD" w:sz="1"/>
              <w:bottom w:val="single" w:color="DDDDDD" w:sz="1"/>
              <w:right w:val="single" w:color="DDDDDD" w:sz="1"/>
            </w:tcBorders>
            <w:shd w:fill="FFFFFF" w:val="clear"/>
            <w:tcMar>
              <w:top w:type="dxa" w:w="80"/>
              <w:left w:type="dxa" w:w="160"/>
              <w:bottom w:type="dxa" w:w="80"/>
              <w:right w:type="dxa" w:w="160"/>
            </w:tcMar>
          </w:tcPr>
          <w:p>
            <w:pPr>
              <w:spacing w:after="60" w:before="0"/>
            </w:pPr>
            <w:r>
              <w:rPr>
                <w:rFonts w:ascii="Arial" w:cs="Arial" w:eastAsia="Arial" w:hAnsi="Arial"/>
                <w:color w:val="000000"/>
                <w:sz w:val="21"/>
                <w:szCs w:val="21"/>
              </w:rPr>
              <w:t xml:space="preserve">K1, K2, KB functions changed from unimplemented stubs to fixed 25 °C / 35 ppt constants.</w:t>
            </w:r>
          </w:p>
          <w:p>
            <w:pPr>
              <w:pStyle w:val="ListParagraph"/>
              <w:numPr>
                <w:ilvl w:val="0"/>
                <w:numId w:val="2"/>
              </w:numPr>
              <w:spacing w:after="30" w:before="30"/>
            </w:pPr>
            <w:r>
              <w:rPr>
                <w:rFonts w:ascii="Arial" w:cs="Arial" w:eastAsia="Arial" w:hAnsi="Arial"/>
                <w:color w:val="333333"/>
                <w:sz w:val="20"/>
                <w:szCs w:val="20"/>
              </w:rPr>
              <w:t xml:space="preserve">K1 = 1.42 × 10⁻⁶ (Lueker et al. 2000, 25 °C, S=35, error vs exact: 0.13%)</w:t>
            </w:r>
          </w:p>
          <w:p>
            <w:pPr>
              <w:pStyle w:val="ListParagraph"/>
              <w:numPr>
                <w:ilvl w:val="0"/>
                <w:numId w:val="2"/>
              </w:numPr>
              <w:spacing w:after="30" w:before="30"/>
            </w:pPr>
            <w:r>
              <w:rPr>
                <w:rFonts w:ascii="Arial" w:cs="Arial" w:eastAsia="Arial" w:hAnsi="Arial"/>
                <w:color w:val="333333"/>
                <w:sz w:val="20"/>
                <w:szCs w:val="20"/>
              </w:rPr>
              <w:t xml:space="preserve">K2 = 1.08 × 10⁻⁹ (Lueker et al. 2000, 25 °C, S=35, error vs exact: 0.14%)</w:t>
            </w:r>
          </w:p>
          <w:p>
            <w:pPr>
              <w:pStyle w:val="ListParagraph"/>
              <w:numPr>
                <w:ilvl w:val="0"/>
                <w:numId w:val="2"/>
              </w:numPr>
              <w:spacing w:after="30" w:before="30"/>
            </w:pPr>
            <w:r>
              <w:rPr>
                <w:rFonts w:ascii="Arial" w:cs="Arial" w:eastAsia="Arial" w:hAnsi="Arial"/>
                <w:color w:val="333333"/>
                <w:sz w:val="20"/>
                <w:szCs w:val="20"/>
              </w:rPr>
              <w:t xml:space="preserve">KB = 2.54 × 10⁻⁹ (Dickson 1990, 25 °C, S=35, error vs exact: 0.53%)</w:t>
            </w:r>
          </w:p>
          <w:p>
            <w:pPr>
              <w:pStyle w:val="ListParagraph"/>
              <w:numPr>
                <w:ilvl w:val="0"/>
                <w:numId w:val="2"/>
              </w:numPr>
              <w:spacing w:after="30" w:before="30"/>
            </w:pPr>
            <w:r>
              <w:rPr>
                <w:rFonts w:ascii="Arial" w:cs="Arial" w:eastAsia="Arial" w:hAnsi="Arial"/>
                <w:color w:val="333333"/>
                <w:sz w:val="20"/>
                <w:szCs w:val="20"/>
              </w:rPr>
              <w:t xml:space="preserve">Temperature argument still accepted but not used. Documented design choice: for 35 ppt trend-only use, K values largely cancel in the ratio, and error from fixed constants is under 0.05 dKH across 23–27 °C.</w:t>
            </w:r>
          </w:p>
          <w:p>
            <w:pPr>
              <w:pStyle w:val="ListParagraph"/>
              <w:numPr>
                <w:ilvl w:val="0"/>
                <w:numId w:val="2"/>
              </w:numPr>
              <w:spacing w:after="30" w:before="30"/>
            </w:pPr>
            <w:r>
              <w:rPr>
                <w:rFonts w:ascii="Arial" w:cs="Arial" w:eastAsia="Arial" w:hAnsi="Arial"/>
                <w:color w:val="333333"/>
                <w:sz w:val="20"/>
                <w:szCs w:val="20"/>
              </w:rPr>
              <w:t xml:space="preserve">Stubs in v1 had comments reading "implement Millero polynomial here" with no actual polynomial.</w:t>
            </w:r>
          </w:p>
        </w:tc>
      </w:tr>
      <w:tr>
        <w:tc>
          <w:tcPr>
            <w:tcW w:type="dxa" w:w="1600"/>
            <w:tcBorders>
              <w:top w:val="single" w:color="DDDDDD" w:sz="1"/>
              <w:left w:val="single" w:color="DDDDDD" w:sz="1"/>
              <w:bottom w:val="single" w:color="DDDDDD" w:sz="1"/>
              <w:right w:val="single" w:color="DDDDDD" w:sz="1"/>
            </w:tcBorders>
            <w:shd w:fill="EAF4EA" w:val="clear"/>
            <w:tcMar>
              <w:top w:type="dxa" w:w="80"/>
              <w:left w:type="dxa" w:w="140"/>
              <w:bottom w:type="dxa" w:w="80"/>
              <w:right w:type="dxa" w:w="140"/>
            </w:tcMar>
            <w:vAlign w:val="center"/>
          </w:tcPr>
          <w:p>
            <w:pPr>
              <w:jc w:val="center"/>
            </w:pPr>
            <w:r>
              <w:rPr>
                <w:rFonts w:ascii="Arial" w:cs="Arial" w:eastAsia="Arial" w:hAnsi="Arial"/>
                <w:b/>
                <w:bCs/>
                <w:color w:val="2E7D32"/>
                <w:sz w:val="19"/>
                <w:szCs w:val="19"/>
              </w:rPr>
              <w:t xml:space="preserve">ADDED</w:t>
            </w:r>
          </w:p>
        </w:tc>
        <w:tc>
          <w:tcPr>
            <w:tcW w:type="dxa" w:w="7760"/>
            <w:tcBorders>
              <w:top w:val="single" w:color="DDDDDD" w:sz="1"/>
              <w:left w:val="single" w:color="DDDDDD" w:sz="1"/>
              <w:bottom w:val="single" w:color="DDDDDD" w:sz="1"/>
              <w:right w:val="single" w:color="DDDDDD" w:sz="1"/>
            </w:tcBorders>
            <w:shd w:fill="FFFFFF" w:val="clear"/>
            <w:tcMar>
              <w:top w:type="dxa" w:w="80"/>
              <w:left w:type="dxa" w:w="160"/>
              <w:bottom w:type="dxa" w:w="80"/>
              <w:right w:type="dxa" w:w="160"/>
            </w:tcMar>
          </w:tcPr>
          <w:p>
            <w:pPr>
              <w:spacing w:after="0" w:before="0"/>
            </w:pPr>
            <w:r>
              <w:rPr>
                <w:rFonts w:ascii="Arial" w:cs="Arial" w:eastAsia="Arial" w:hAnsi="Arial"/>
                <w:color w:val="000000"/>
                <w:sz w:val="21"/>
                <w:szCs w:val="21"/>
              </w:rPr>
              <w:t xml:space="preserve">SIMULATION_MODE compile flag. true by default. Allows bench testing without hardware; sensor functions return stable pseudo-values in simulation mode.</w:t>
            </w:r>
          </w:p>
        </w:tc>
      </w:tr>
      <w:tr>
        <w:tc>
          <w:tcPr>
            <w:tcW w:type="dxa" w:w="1600"/>
            <w:tcBorders>
              <w:top w:val="single" w:color="DDDDDD" w:sz="1"/>
              <w:left w:val="single" w:color="DDDDDD" w:sz="1"/>
              <w:bottom w:val="single" w:color="DDDDDD" w:sz="1"/>
              <w:right w:val="single" w:color="DDDDDD" w:sz="1"/>
            </w:tcBorders>
            <w:shd w:fill="EAF4EA" w:val="clear"/>
            <w:tcMar>
              <w:top w:type="dxa" w:w="80"/>
              <w:left w:type="dxa" w:w="140"/>
              <w:bottom w:type="dxa" w:w="80"/>
              <w:right w:type="dxa" w:w="140"/>
            </w:tcMar>
            <w:vAlign w:val="center"/>
          </w:tcPr>
          <w:p>
            <w:pPr>
              <w:jc w:val="center"/>
            </w:pPr>
            <w:r>
              <w:rPr>
                <w:rFonts w:ascii="Arial" w:cs="Arial" w:eastAsia="Arial" w:hAnsi="Arial"/>
                <w:b/>
                <w:bCs/>
                <w:color w:val="2E7D32"/>
                <w:sz w:val="19"/>
                <w:szCs w:val="19"/>
              </w:rPr>
              <w:t xml:space="preserve">ADDED</w:t>
            </w:r>
          </w:p>
        </w:tc>
        <w:tc>
          <w:tcPr>
            <w:tcW w:type="dxa" w:w="7760"/>
            <w:tcBorders>
              <w:top w:val="single" w:color="DDDDDD" w:sz="1"/>
              <w:left w:val="single" w:color="DDDDDD" w:sz="1"/>
              <w:bottom w:val="single" w:color="DDDDDD" w:sz="1"/>
              <w:right w:val="single" w:color="DDDDDD" w:sz="1"/>
            </w:tcBorders>
            <w:shd w:fill="FFFFFF" w:val="clear"/>
            <w:tcMar>
              <w:top w:type="dxa" w:w="80"/>
              <w:left w:type="dxa" w:w="160"/>
              <w:bottom w:type="dxa" w:w="80"/>
              <w:right w:type="dxa" w:w="160"/>
            </w:tcMar>
          </w:tcPr>
          <w:p>
            <w:pPr>
              <w:spacing w:after="60" w:before="0"/>
            </w:pPr>
            <w:r>
              <w:rPr>
                <w:rFonts w:ascii="Arial" w:cs="Arial" w:eastAsia="Arial" w:hAnsi="Arial"/>
                <w:color w:val="000000"/>
                <w:sz w:val="21"/>
                <w:szCs w:val="21"/>
              </w:rPr>
              <w:t xml:space="preserve">pH averaging window replacing single read.</w:t>
            </w:r>
          </w:p>
          <w:p>
            <w:pPr>
              <w:pStyle w:val="ListParagraph"/>
              <w:numPr>
                <w:ilvl w:val="0"/>
                <w:numId w:val="2"/>
              </w:numPr>
              <w:spacing w:after="30" w:before="30"/>
            </w:pPr>
            <w:r>
              <w:rPr>
                <w:rFonts w:ascii="Arial" w:cs="Arial" w:eastAsia="Arial" w:hAnsi="Arial"/>
                <w:color w:val="333333"/>
                <w:sz w:val="20"/>
                <w:szCs w:val="20"/>
              </w:rPr>
              <w:t xml:space="preserve">30 readings over 60 seconds (READ_WINDOW_MS / READ_PERIOD_MS).</w:t>
            </w:r>
          </w:p>
          <w:p>
            <w:pPr>
              <w:pStyle w:val="ListParagraph"/>
              <w:numPr>
                <w:ilvl w:val="0"/>
                <w:numId w:val="2"/>
              </w:numPr>
              <w:spacing w:after="30" w:before="30"/>
            </w:pPr>
            <w:r>
              <w:rPr>
                <w:rFonts w:ascii="Arial" w:cs="Arial" w:eastAsia="Arial" w:hAnsi="Arial"/>
                <w:color w:val="333333"/>
                <w:sz w:val="20"/>
                <w:szCs w:val="20"/>
              </w:rPr>
              <w:t xml:space="preserve">Mean and population standard deviation computed.</w:t>
            </w:r>
          </w:p>
          <w:p>
            <w:pPr>
              <w:pStyle w:val="ListParagraph"/>
              <w:numPr>
                <w:ilvl w:val="0"/>
                <w:numId w:val="2"/>
              </w:numPr>
              <w:spacing w:after="30" w:before="30"/>
            </w:pPr>
            <w:r>
              <w:rPr>
                <w:rFonts w:ascii="Arial" w:cs="Arial" w:eastAsia="Arial" w:hAnsi="Arial"/>
                <w:color w:val="333333"/>
                <w:sz w:val="20"/>
                <w:szCs w:val="20"/>
              </w:rPr>
              <w:t xml:space="preserve">Minimum 5 valid reads required; returns failure if fewer received.</w:t>
            </w:r>
          </w:p>
          <w:p>
            <w:pPr>
              <w:pStyle w:val="ListParagraph"/>
              <w:numPr>
                <w:ilvl w:val="0"/>
                <w:numId w:val="2"/>
              </w:numPr>
              <w:spacing w:after="30" w:before="30"/>
            </w:pPr>
            <w:r>
              <w:rPr>
                <w:rFonts w:ascii="Arial" w:cs="Arial" w:eastAsia="Arial" w:hAnsi="Arial"/>
                <w:color w:val="333333"/>
                <w:sz w:val="20"/>
                <w:szCs w:val="20"/>
              </w:rPr>
              <w:t xml:space="preserve">pHStdDev computed and stored in SampleReading struct but value unused — no action taken on high variance (Bug 5, fixed in v2.1).</w:t>
            </w:r>
          </w:p>
        </w:tc>
      </w:tr>
      <w:tr>
        <w:tc>
          <w:tcPr>
            <w:tcW w:type="dxa" w:w="1600"/>
            <w:tcBorders>
              <w:top w:val="single" w:color="DDDDDD" w:sz="1"/>
              <w:left w:val="single" w:color="DDDDDD" w:sz="1"/>
              <w:bottom w:val="single" w:color="DDDDDD" w:sz="1"/>
              <w:right w:val="single" w:color="DDDDDD" w:sz="1"/>
            </w:tcBorders>
            <w:shd w:fill="EAF4EA" w:val="clear"/>
            <w:tcMar>
              <w:top w:type="dxa" w:w="80"/>
              <w:left w:type="dxa" w:w="140"/>
              <w:bottom w:type="dxa" w:w="80"/>
              <w:right w:type="dxa" w:w="140"/>
            </w:tcMar>
            <w:vAlign w:val="center"/>
          </w:tcPr>
          <w:p>
            <w:pPr>
              <w:jc w:val="center"/>
            </w:pPr>
            <w:r>
              <w:rPr>
                <w:rFonts w:ascii="Arial" w:cs="Arial" w:eastAsia="Arial" w:hAnsi="Arial"/>
                <w:b/>
                <w:bCs/>
                <w:color w:val="2E7D32"/>
                <w:sz w:val="19"/>
                <w:szCs w:val="19"/>
              </w:rPr>
              <w:t xml:space="preserve">ADDED</w:t>
            </w:r>
          </w:p>
        </w:tc>
        <w:tc>
          <w:tcPr>
            <w:tcW w:type="dxa" w:w="7760"/>
            <w:tcBorders>
              <w:top w:val="single" w:color="DDDDDD" w:sz="1"/>
              <w:left w:val="single" w:color="DDDDDD" w:sz="1"/>
              <w:bottom w:val="single" w:color="DDDDDD" w:sz="1"/>
              <w:right w:val="single" w:color="DDDDDD" w:sz="1"/>
            </w:tcBorders>
            <w:shd w:fill="FFFFFF" w:val="clear"/>
            <w:tcMar>
              <w:top w:type="dxa" w:w="80"/>
              <w:left w:type="dxa" w:w="160"/>
              <w:bottom w:type="dxa" w:w="80"/>
              <w:right w:type="dxa" w:w="160"/>
            </w:tcMar>
          </w:tcPr>
          <w:p>
            <w:pPr>
              <w:spacing w:after="0" w:before="0"/>
            </w:pPr>
            <w:r>
              <w:rPr>
                <w:rFonts w:ascii="Arial" w:cs="Arial" w:eastAsia="Arial" w:hAnsi="Arial"/>
                <w:color w:val="000000"/>
                <w:sz w:val="21"/>
                <w:szCs w:val="21"/>
              </w:rPr>
              <w:t xml:space="preserve">EEPROM CalibrationData struct with uint32_t signature (0xA11C0DE5) for validation across power cycles.</w:t>
            </w:r>
          </w:p>
        </w:tc>
      </w:tr>
      <w:tr>
        <w:tc>
          <w:tcPr>
            <w:tcW w:type="dxa" w:w="1600"/>
            <w:tcBorders>
              <w:top w:val="single" w:color="DDDDDD" w:sz="1"/>
              <w:left w:val="single" w:color="DDDDDD" w:sz="1"/>
              <w:bottom w:val="single" w:color="DDDDDD" w:sz="1"/>
              <w:right w:val="single" w:color="DDDDDD" w:sz="1"/>
            </w:tcBorders>
            <w:shd w:fill="EAF4EA" w:val="clear"/>
            <w:tcMar>
              <w:top w:type="dxa" w:w="80"/>
              <w:left w:type="dxa" w:w="140"/>
              <w:bottom w:type="dxa" w:w="80"/>
              <w:right w:type="dxa" w:w="140"/>
            </w:tcMar>
            <w:vAlign w:val="center"/>
          </w:tcPr>
          <w:p>
            <w:pPr>
              <w:jc w:val="center"/>
            </w:pPr>
            <w:r>
              <w:rPr>
                <w:rFonts w:ascii="Arial" w:cs="Arial" w:eastAsia="Arial" w:hAnsi="Arial"/>
                <w:b/>
                <w:bCs/>
                <w:color w:val="2E7D32"/>
                <w:sz w:val="19"/>
                <w:szCs w:val="19"/>
              </w:rPr>
              <w:t xml:space="preserve">ADDED</w:t>
            </w:r>
          </w:p>
        </w:tc>
        <w:tc>
          <w:tcPr>
            <w:tcW w:type="dxa" w:w="7760"/>
            <w:tcBorders>
              <w:top w:val="single" w:color="DDDDDD" w:sz="1"/>
              <w:left w:val="single" w:color="DDDDDD" w:sz="1"/>
              <w:bottom w:val="single" w:color="DDDDDD" w:sz="1"/>
              <w:right w:val="single" w:color="DDDDDD" w:sz="1"/>
            </w:tcBorders>
            <w:shd w:fill="FFFFFF" w:val="clear"/>
            <w:tcMar>
              <w:top w:type="dxa" w:w="80"/>
              <w:left w:type="dxa" w:w="160"/>
              <w:bottom w:type="dxa" w:w="80"/>
              <w:right w:type="dxa" w:w="160"/>
            </w:tcMar>
          </w:tcPr>
          <w:p>
            <w:pPr>
              <w:spacing w:after="0" w:before="0"/>
            </w:pPr>
            <w:r>
              <w:rPr>
                <w:rFonts w:ascii="Arial" w:cs="Arial" w:eastAsia="Arial" w:hAnsi="Arial"/>
                <w:color w:val="000000"/>
                <w:sz w:val="21"/>
                <w:szCs w:val="21"/>
              </w:rPr>
              <w:t xml:space="preserve">BNC/DAC fake-pH trend output. dKH result linearly mapped to synthetic 0–3.3 V signal on GPIO 25 for aquarium controller logging.</w:t>
            </w:r>
          </w:p>
        </w:tc>
      </w:tr>
      <w:tr>
        <w:tc>
          <w:tcPr>
            <w:tcW w:type="dxa" w:w="1600"/>
            <w:tcBorders>
              <w:top w:val="single" w:color="DDDDDD" w:sz="1"/>
              <w:left w:val="single" w:color="DDDDDD" w:sz="1"/>
              <w:bottom w:val="single" w:color="DDDDDD" w:sz="1"/>
              <w:right w:val="single" w:color="DDDDDD" w:sz="1"/>
            </w:tcBorders>
            <w:shd w:fill="EAF4EA" w:val="clear"/>
            <w:tcMar>
              <w:top w:type="dxa" w:w="80"/>
              <w:left w:type="dxa" w:w="140"/>
              <w:bottom w:type="dxa" w:w="80"/>
              <w:right w:type="dxa" w:w="140"/>
            </w:tcMar>
            <w:vAlign w:val="center"/>
          </w:tcPr>
          <w:p>
            <w:pPr>
              <w:jc w:val="center"/>
            </w:pPr>
            <w:r>
              <w:rPr>
                <w:rFonts w:ascii="Arial" w:cs="Arial" w:eastAsia="Arial" w:hAnsi="Arial"/>
                <w:b/>
                <w:bCs/>
                <w:color w:val="2E7D32"/>
                <w:sz w:val="19"/>
                <w:szCs w:val="19"/>
              </w:rPr>
              <w:t xml:space="preserve">ADDED</w:t>
            </w:r>
          </w:p>
        </w:tc>
        <w:tc>
          <w:tcPr>
            <w:tcW w:type="dxa" w:w="7760"/>
            <w:tcBorders>
              <w:top w:val="single" w:color="DDDDDD" w:sz="1"/>
              <w:left w:val="single" w:color="DDDDDD" w:sz="1"/>
              <w:bottom w:val="single" w:color="DDDDDD" w:sz="1"/>
              <w:right w:val="single" w:color="DDDDDD" w:sz="1"/>
            </w:tcBorders>
            <w:shd w:fill="FFFFFF" w:val="clear"/>
            <w:tcMar>
              <w:top w:type="dxa" w:w="80"/>
              <w:left w:type="dxa" w:w="160"/>
              <w:bottom w:type="dxa" w:w="80"/>
              <w:right w:type="dxa" w:w="160"/>
            </w:tcMar>
          </w:tcPr>
          <w:p>
            <w:pPr>
              <w:spacing w:after="0" w:before="0"/>
            </w:pPr>
            <w:r>
              <w:rPr>
                <w:rFonts w:ascii="Arial" w:cs="Arial" w:eastAsia="Arial" w:hAnsi="Arial"/>
                <w:color w:val="000000"/>
                <w:sz w:val="21"/>
                <w:szCs w:val="21"/>
              </w:rPr>
              <w:t xml:space="preserve">Double-rinse flush cycle between reference and tank measurements to reduce cross-contamination.</w:t>
            </w:r>
          </w:p>
        </w:tc>
      </w:tr>
      <w:tr>
        <w:tc>
          <w:tcPr>
            <w:tcW w:type="dxa" w:w="1600"/>
            <w:tcBorders>
              <w:top w:val="single" w:color="DDDDDD" w:sz="1"/>
              <w:left w:val="single" w:color="DDDDDD" w:sz="1"/>
              <w:bottom w:val="single" w:color="DDDDDD" w:sz="1"/>
              <w:right w:val="single" w:color="DDDDDD" w:sz="1"/>
            </w:tcBorders>
            <w:shd w:fill="EAF4EA" w:val="clear"/>
            <w:tcMar>
              <w:top w:type="dxa" w:w="80"/>
              <w:left w:type="dxa" w:w="140"/>
              <w:bottom w:type="dxa" w:w="80"/>
              <w:right w:type="dxa" w:w="140"/>
            </w:tcMar>
            <w:vAlign w:val="center"/>
          </w:tcPr>
          <w:p>
            <w:pPr>
              <w:jc w:val="center"/>
            </w:pPr>
            <w:r>
              <w:rPr>
                <w:rFonts w:ascii="Arial" w:cs="Arial" w:eastAsia="Arial" w:hAnsi="Arial"/>
                <w:b/>
                <w:bCs/>
                <w:color w:val="2E7D32"/>
                <w:sz w:val="19"/>
                <w:szCs w:val="19"/>
              </w:rPr>
              <w:t xml:space="preserve">ADDED</w:t>
            </w:r>
          </w:p>
        </w:tc>
        <w:tc>
          <w:tcPr>
            <w:tcW w:type="dxa" w:w="7760"/>
            <w:tcBorders>
              <w:top w:val="single" w:color="DDDDDD" w:sz="1"/>
              <w:left w:val="single" w:color="DDDDDD" w:sz="1"/>
              <w:bottom w:val="single" w:color="DDDDDD" w:sz="1"/>
              <w:right w:val="single" w:color="DDDDDD" w:sz="1"/>
            </w:tcBorders>
            <w:shd w:fill="FFFFFF" w:val="clear"/>
            <w:tcMar>
              <w:top w:type="dxa" w:w="80"/>
              <w:left w:type="dxa" w:w="160"/>
              <w:bottom w:type="dxa" w:w="80"/>
              <w:right w:type="dxa" w:w="160"/>
            </w:tcMar>
          </w:tcPr>
          <w:p>
            <w:pPr>
              <w:spacing w:after="0" w:before="0"/>
            </w:pPr>
            <w:r>
              <w:rPr>
                <w:rFonts w:ascii="Arial" w:cs="Arial" w:eastAsia="Arial" w:hAnsi="Arial"/>
                <w:color w:val="000000"/>
                <w:sz w:val="21"/>
                <w:szCs w:val="21"/>
              </w:rPr>
              <w:t xml:space="preserve">Fault range checks on pH (6.5–9.2), temperature (15–35 °C), and final result (3–20 dKH). Out-of-range values abort the cycle.</w:t>
            </w:r>
          </w:p>
        </w:tc>
      </w:tr>
      <w:tr>
        <w:tc>
          <w:tcPr>
            <w:tcW w:type="dxa" w:w="1600"/>
            <w:tcBorders>
              <w:top w:val="single" w:color="DDDDDD" w:sz="1"/>
              <w:left w:val="single" w:color="DDDDDD" w:sz="1"/>
              <w:bottom w:val="single" w:color="DDDDDD" w:sz="1"/>
              <w:right w:val="single" w:color="DDDDDD" w:sz="1"/>
            </w:tcBorders>
            <w:shd w:fill="F5F5F5" w:val="clear"/>
            <w:tcMar>
              <w:top w:type="dxa" w:w="80"/>
              <w:left w:type="dxa" w:w="140"/>
              <w:bottom w:type="dxa" w:w="80"/>
              <w:right w:type="dxa" w:w="140"/>
            </w:tcMar>
            <w:vAlign w:val="center"/>
          </w:tcPr>
          <w:p>
            <w:pPr>
              <w:jc w:val="center"/>
            </w:pPr>
            <w:r>
              <w:rPr>
                <w:rFonts w:ascii="Arial" w:cs="Arial" w:eastAsia="Arial" w:hAnsi="Arial"/>
                <w:b/>
                <w:bCs/>
                <w:color w:val="666666"/>
                <w:sz w:val="19"/>
                <w:szCs w:val="19"/>
              </w:rPr>
              <w:t xml:space="preserve">NOTE</w:t>
            </w:r>
          </w:p>
        </w:tc>
        <w:tc>
          <w:tcPr>
            <w:tcW w:type="dxa" w:w="7760"/>
            <w:tcBorders>
              <w:top w:val="single" w:color="DDDDDD" w:sz="1"/>
              <w:left w:val="single" w:color="DDDDDD" w:sz="1"/>
              <w:bottom w:val="single" w:color="DDDDDD" w:sz="1"/>
              <w:right w:val="single" w:color="DDDDDD" w:sz="1"/>
            </w:tcBorders>
            <w:shd w:fill="FFFFFF" w:val="clear"/>
            <w:tcMar>
              <w:top w:type="dxa" w:w="80"/>
              <w:left w:type="dxa" w:w="160"/>
              <w:bottom w:type="dxa" w:w="80"/>
              <w:right w:type="dxa" w:w="160"/>
            </w:tcMar>
          </w:tcPr>
          <w:p>
            <w:pPr>
              <w:spacing w:after="60" w:before="0"/>
            </w:pPr>
            <w:r>
              <w:rPr>
                <w:rFonts w:ascii="Arial" w:cs="Arial" w:eastAsia="Arial" w:hAnsi="Arial"/>
                <w:color w:val="000000"/>
                <w:sz w:val="21"/>
                <w:szCs w:val="21"/>
              </w:rPr>
              <w:t xml:space="preserve">Five bugs present in v2, resolved in v2.1:</w:t>
            </w:r>
          </w:p>
          <w:p>
            <w:pPr>
              <w:pStyle w:val="ListParagraph"/>
              <w:numPr>
                <w:ilvl w:val="0"/>
                <w:numId w:val="2"/>
              </w:numPr>
              <w:spacing w:after="30" w:before="30"/>
            </w:pPr>
            <w:r>
              <w:rPr>
                <w:rFonts w:ascii="Arial" w:cs="Arial" w:eastAsia="Arial" w:hAnsi="Arial"/>
                <w:color w:val="333333"/>
                <w:sz w:val="20"/>
                <w:szCs w:val="20"/>
              </w:rPr>
              <w:t xml:space="preserve">Bug 1: PUMP_TANK=6, PUMP_WASTE=7, AIR_PUMP=8 — all ESP32 SPI flash pins.</w:t>
            </w:r>
          </w:p>
          <w:p>
            <w:pPr>
              <w:pStyle w:val="ListParagraph"/>
              <w:numPr>
                <w:ilvl w:val="0"/>
                <w:numId w:val="2"/>
              </w:numPr>
              <w:spacing w:after="30" w:before="30"/>
            </w:pPr>
            <w:r>
              <w:rPr>
                <w:rFonts w:ascii="Arial" w:cs="Arial" w:eastAsia="Arial" w:hAnsi="Arial"/>
                <w:color w:val="333333"/>
                <w:sz w:val="20"/>
                <w:szCs w:val="20"/>
              </w:rPr>
              <w:t xml:space="preserve">Bug 2: All delays blocking — no serial commands processed during aeration or sleep.</w:t>
            </w:r>
          </w:p>
          <w:p>
            <w:pPr>
              <w:pStyle w:val="ListParagraph"/>
              <w:numPr>
                <w:ilvl w:val="0"/>
                <w:numId w:val="2"/>
              </w:numPr>
              <w:spacing w:after="30" w:before="30"/>
            </w:pPr>
            <w:r>
              <w:rPr>
                <w:rFonts w:ascii="Arial" w:cs="Arial" w:eastAsia="Arial" w:hAnsi="Arial"/>
                <w:color w:val="333333"/>
                <w:sz w:val="20"/>
                <w:szCs w:val="20"/>
              </w:rPr>
              <w:t xml:space="preserve">Bug 3: Real sensor code absent — #else branches return NAN with TODO comments.</w:t>
            </w:r>
          </w:p>
          <w:p>
            <w:pPr>
              <w:pStyle w:val="ListParagraph"/>
              <w:numPr>
                <w:ilvl w:val="0"/>
                <w:numId w:val="2"/>
              </w:numPr>
              <w:spacing w:after="30" w:before="30"/>
            </w:pPr>
            <w:r>
              <w:rPr>
                <w:rFonts w:ascii="Arial" w:cs="Arial" w:eastAsia="Arial" w:hAnsi="Arial"/>
                <w:color w:val="333333"/>
                <w:sz w:val="20"/>
                <w:szCs w:val="20"/>
              </w:rPr>
              <w:t xml:space="preserve">Bug 4: EZO temperature compensation never called.</w:t>
            </w:r>
          </w:p>
          <w:p>
            <w:pPr>
              <w:pStyle w:val="ListParagraph"/>
              <w:numPr>
                <w:ilvl w:val="0"/>
                <w:numId w:val="2"/>
              </w:numPr>
              <w:spacing w:after="30" w:before="30"/>
            </w:pPr>
            <w:r>
              <w:rPr>
                <w:rFonts w:ascii="Arial" w:cs="Arial" w:eastAsia="Arial" w:hAnsi="Arial"/>
                <w:color w:val="333333"/>
                <w:sz w:val="20"/>
                <w:szCs w:val="20"/>
              </w:rPr>
              <w:t xml:space="preserve">Bug 5: pHStdDev computed and silently discarded.</w:t>
            </w:r>
          </w:p>
        </w:tc>
      </w:tr>
    </w:tbl>
    <w:p>
      <w:pPr>
        <w:spacing w:after="4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5560"/>
      </w:tblGrid>
      <w:tr>
        <w:tc>
          <w:tcPr>
            <w:tcW w:type="dxa" w:w="2200"/>
            <w:tcBorders>
              <w:top w:val="single" w:color="1A6B6B" w:sz="1"/>
              <w:left w:val="single" w:color="1A6B6B" w:sz="1"/>
              <w:bottom w:val="single" w:color="1A6B6B" w:sz="1"/>
              <w:right w:val="single" w:color="1A6B6B" w:sz="1"/>
            </w:tcBorders>
            <w:shd w:fill="1A6B6B" w:val="clear"/>
            <w:tcMar>
              <w:top w:type="dxa" w:w="120"/>
              <w:left w:type="dxa" w:w="200"/>
              <w:bottom w:type="dxa" w:w="120"/>
              <w:right w:type="dxa" w:w="200"/>
            </w:tcMar>
          </w:tcPr>
          <w:p>
            <w:r>
              <w:rPr>
                <w:rFonts w:ascii="Arial" w:cs="Arial" w:eastAsia="Arial" w:hAnsi="Arial"/>
                <w:b/>
                <w:bCs/>
                <w:color w:val="FFFFFF"/>
                <w:sz w:val="40"/>
                <w:szCs w:val="40"/>
              </w:rPr>
              <w:t xml:space="preserve">v1</w:t>
            </w:r>
          </w:p>
        </w:tc>
        <w:tc>
          <w:tcPr>
            <w:tcW w:type="dxa" w:w="1600"/>
            <w:tcBorders>
              <w:top w:val="single" w:color="666666" w:sz="1"/>
              <w:left w:val="single" w:color="666666" w:sz="1"/>
              <w:bottom w:val="single" w:color="666666" w:sz="1"/>
              <w:right w:val="single" w:color="666666" w:sz="1"/>
            </w:tcBorders>
            <w:shd w:fill="F5F5F5" w:val="clear"/>
            <w:tcMar>
              <w:top w:type="dxa" w:w="120"/>
              <w:left w:type="dxa" w:w="200"/>
              <w:bottom w:type="dxa" w:w="120"/>
              <w:right w:type="dxa" w:w="200"/>
            </w:tcMar>
          </w:tcPr>
          <w:p>
            <w:pPr>
              <w:jc w:val="center"/>
            </w:pPr>
            <w:r>
              <w:rPr>
                <w:rFonts w:ascii="Arial" w:cs="Arial" w:eastAsia="Arial" w:hAnsi="Arial"/>
                <w:b/>
                <w:bCs/>
                <w:color w:val="666666"/>
                <w:sz w:val="22"/>
                <w:szCs w:val="22"/>
              </w:rPr>
              <w:t xml:space="preserve">REFERENCE</w:t>
            </w:r>
          </w:p>
        </w:tc>
        <w:tc>
          <w:tcPr>
            <w:tcW w:type="dxa" w:w="5560"/>
            <w:tcBorders>
              <w:top w:val="single" w:color="CCCCCC" w:sz="1"/>
              <w:left w:val="single" w:color="CCCCCC" w:sz="1"/>
              <w:bottom w:val="single" w:color="CCCCCC" w:sz="1"/>
              <w:right w:val="single" w:color="CCCCCC" w:sz="1"/>
            </w:tcBorders>
            <w:shd w:fill="E6F4F4" w:val="clear"/>
            <w:tcMar>
              <w:top w:type="dxa" w:w="120"/>
              <w:left w:type="dxa" w:w="200"/>
              <w:bottom w:type="dxa" w:w="120"/>
              <w:right w:type="dxa" w:w="200"/>
            </w:tcMar>
          </w:tcPr>
          <w:p>
            <w:r>
              <w:rPr>
                <w:rFonts w:ascii="Arial" w:cs="Arial" w:eastAsia="Arial" w:hAnsi="Arial"/>
                <w:color w:val="333333"/>
                <w:sz w:val="20"/>
                <w:szCs w:val="20"/>
              </w:rPr>
              <w:t xml:space="preserve">Original blueprint draft — reference only, never deployed</w:t>
            </w:r>
          </w:p>
        </w:tc>
      </w:tr>
    </w:tbl>
    <w:p>
      <w:pPr>
        <w:spacing w:after="60" w:before="60"/>
      </w:pPr>
    </w:p>
    <w:p>
      <w:pPr>
        <w:spacing w:after="100" w:before="60"/>
      </w:pPr>
      <w:r>
        <w:rPr>
          <w:rFonts w:ascii="Arial" w:cs="Arial" w:eastAsia="Arial" w:hAnsi="Arial"/>
          <w:color w:val="666666"/>
          <w:sz w:val="22"/>
          <w:szCs w:val="22"/>
        </w:rPr>
        <w:t xml:space="preserve">Source: Alkalinity_Tester_Microcontroller_Code.docx (uploaded document). Baseline from original design document.</w:t>
      </w:r>
    </w:p>
    <w:p>
      <w:pPr>
        <w:spacing w:after="60"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1A6B6B" w:sz="1"/>
              <w:left w:val="single" w:color="1A6B6B" w:sz="1"/>
              <w:bottom w:val="single" w:color="1A6B6B" w:sz="1"/>
              <w:right w:val="single" w:color="1A6B6B" w:sz="1"/>
            </w:tcBorders>
            <w:shd w:fill="2E8B8B" w:val="clear"/>
            <w:tcMar>
              <w:top w:type="dxa" w:w="70"/>
              <w:left w:type="dxa" w:w="140"/>
              <w:bottom w:type="dxa" w:w="70"/>
              <w:right w:type="dxa" w:w="140"/>
            </w:tcMar>
          </w:tcPr>
          <w:p>
            <w:r>
              <w:rPr>
                <w:rFonts w:ascii="Arial" w:cs="Arial" w:eastAsia="Arial" w:hAnsi="Arial"/>
                <w:b/>
                <w:bCs/>
                <w:color w:val="FFFFFF"/>
                <w:sz w:val="19"/>
                <w:szCs w:val="19"/>
              </w:rPr>
              <w:t xml:space="preserve">Type</w:t>
            </w:r>
          </w:p>
        </w:tc>
        <w:tc>
          <w:tcPr>
            <w:tcW w:type="dxa" w:w="7760"/>
            <w:tcBorders>
              <w:top w:val="single" w:color="1A6B6B" w:sz="1"/>
              <w:left w:val="single" w:color="1A6B6B" w:sz="1"/>
              <w:bottom w:val="single" w:color="1A6B6B" w:sz="1"/>
              <w:right w:val="single" w:color="1A6B6B" w:sz="1"/>
            </w:tcBorders>
            <w:shd w:fill="2E8B8B" w:val="clear"/>
            <w:tcMar>
              <w:top w:type="dxa" w:w="70"/>
              <w:left w:type="dxa" w:w="160"/>
              <w:bottom w:type="dxa" w:w="70"/>
              <w:right w:type="dxa" w:w="160"/>
            </w:tcMar>
          </w:tcPr>
          <w:p>
            <w:r>
              <w:rPr>
                <w:rFonts w:ascii="Arial" w:cs="Arial" w:eastAsia="Arial" w:hAnsi="Arial"/>
                <w:b/>
                <w:bCs/>
                <w:color w:val="FFFFFF"/>
                <w:sz w:val="19"/>
                <w:szCs w:val="19"/>
              </w:rPr>
              <w:t xml:space="preserve">Description</w:t>
            </w:r>
          </w:p>
        </w:tc>
      </w:tr>
      <w:tr>
        <w:tc>
          <w:tcPr>
            <w:tcW w:type="dxa" w:w="1600"/>
            <w:tcBorders>
              <w:top w:val="single" w:color="DDDDDD" w:sz="1"/>
              <w:left w:val="single" w:color="DDDDDD" w:sz="1"/>
              <w:bottom w:val="single" w:color="DDDDDD" w:sz="1"/>
              <w:right w:val="single" w:color="DDDDDD" w:sz="1"/>
            </w:tcBorders>
            <w:shd w:fill="F5F5F5" w:val="clear"/>
            <w:tcMar>
              <w:top w:type="dxa" w:w="80"/>
              <w:left w:type="dxa" w:w="140"/>
              <w:bottom w:type="dxa" w:w="80"/>
              <w:right w:type="dxa" w:w="140"/>
            </w:tcMar>
            <w:vAlign w:val="center"/>
          </w:tcPr>
          <w:p>
            <w:pPr>
              <w:jc w:val="center"/>
            </w:pPr>
            <w:r>
              <w:rPr>
                <w:rFonts w:ascii="Arial" w:cs="Arial" w:eastAsia="Arial" w:hAnsi="Arial"/>
                <w:b/>
                <w:bCs/>
                <w:color w:val="666666"/>
                <w:sz w:val="19"/>
                <w:szCs w:val="19"/>
              </w:rPr>
              <w:t xml:space="preserve">NOTE</w:t>
            </w:r>
          </w:p>
        </w:tc>
        <w:tc>
          <w:tcPr>
            <w:tcW w:type="dxa" w:w="7760"/>
            <w:tcBorders>
              <w:top w:val="single" w:color="DDDDDD" w:sz="1"/>
              <w:left w:val="single" w:color="DDDDDD" w:sz="1"/>
              <w:bottom w:val="single" w:color="DDDDDD" w:sz="1"/>
              <w:right w:val="single" w:color="DDDDDD" w:sz="1"/>
            </w:tcBorders>
            <w:shd w:fill="FFFFFF" w:val="clear"/>
            <w:tcMar>
              <w:top w:type="dxa" w:w="80"/>
              <w:left w:type="dxa" w:w="160"/>
              <w:bottom w:type="dxa" w:w="80"/>
              <w:right w:type="dxa" w:w="160"/>
            </w:tcMar>
          </w:tcPr>
          <w:p>
            <w:pPr>
              <w:spacing w:after="60" w:before="0"/>
            </w:pPr>
            <w:r>
              <w:rPr>
                <w:rFonts w:ascii="Arial" w:cs="Arial" w:eastAsia="Arial" w:hAnsi="Arial"/>
                <w:color w:val="000000"/>
                <w:sz w:val="21"/>
                <w:szCs w:val="21"/>
              </w:rPr>
              <w:t xml:space="preserve">Master formula present but with units mismatch.</w:t>
            </w:r>
          </w:p>
          <w:p>
            <w:pPr>
              <w:pStyle w:val="ListParagraph"/>
              <w:numPr>
                <w:ilvl w:val="0"/>
                <w:numId w:val="2"/>
              </w:numPr>
              <w:spacing w:after="30" w:before="30"/>
            </w:pPr>
            <w:r>
              <w:rPr>
                <w:rFonts w:ascii="Arial" w:cs="Arial" w:eastAsia="Arial" w:hAnsi="Arial"/>
                <w:color w:val="333333"/>
                <w:sz w:val="20"/>
                <w:szCs w:val="20"/>
              </w:rPr>
              <w:t xml:space="preserve">TA_ref_anchor described as a dKH value (e.g. 8.2 dKH).</w:t>
            </w:r>
          </w:p>
          <w:p>
            <w:pPr>
              <w:pStyle w:val="ListParagraph"/>
              <w:numPr>
                <w:ilvl w:val="0"/>
                <w:numId w:val="2"/>
              </w:numPr>
              <w:spacing w:after="30" w:before="30"/>
            </w:pPr>
            <w:r>
              <w:rPr>
                <w:rFonts w:ascii="Arial" w:cs="Arial" w:eastAsia="Arial" w:hAnsi="Arial"/>
                <w:color w:val="333333"/>
                <w:sz w:val="20"/>
                <w:szCs w:val="20"/>
              </w:rPr>
              <w:t xml:space="preserve">BA_ref and BA_tank computed from BT = 0.000416 (mol/kg) and KB, yielding mol/kg values.</w:t>
            </w:r>
          </w:p>
          <w:p>
            <w:pPr>
              <w:pStyle w:val="ListParagraph"/>
              <w:numPr>
                <w:ilvl w:val="0"/>
                <w:numId w:val="2"/>
              </w:numPr>
              <w:spacing w:after="30" w:before="30"/>
            </w:pPr>
            <w:r>
              <w:rPr>
                <w:rFonts w:ascii="Arial" w:cs="Arial" w:eastAsia="Arial" w:hAnsi="Arial"/>
                <w:color w:val="333333"/>
                <w:sz w:val="20"/>
                <w:szCs w:val="20"/>
              </w:rPr>
              <w:t xml:space="preserve">Subtraction (TA_ref_anchor − BA_ref) mixes dKH and mol/kg directly. Self-masking because BA ≈ 2% of TA.</w:t>
            </w:r>
          </w:p>
        </w:tc>
      </w:tr>
      <w:tr>
        <w:tc>
          <w:tcPr>
            <w:tcW w:type="dxa" w:w="1600"/>
            <w:tcBorders>
              <w:top w:val="single" w:color="DDDDDD" w:sz="1"/>
              <w:left w:val="single" w:color="DDDDDD" w:sz="1"/>
              <w:bottom w:val="single" w:color="DDDDDD" w:sz="1"/>
              <w:right w:val="single" w:color="DDDDDD" w:sz="1"/>
            </w:tcBorders>
            <w:shd w:fill="F5F5F5" w:val="clear"/>
            <w:tcMar>
              <w:top w:type="dxa" w:w="80"/>
              <w:left w:type="dxa" w:w="140"/>
              <w:bottom w:type="dxa" w:w="80"/>
              <w:right w:type="dxa" w:w="140"/>
            </w:tcMar>
            <w:vAlign w:val="center"/>
          </w:tcPr>
          <w:p>
            <w:pPr>
              <w:jc w:val="center"/>
            </w:pPr>
            <w:r>
              <w:rPr>
                <w:rFonts w:ascii="Arial" w:cs="Arial" w:eastAsia="Arial" w:hAnsi="Arial"/>
                <w:b/>
                <w:bCs/>
                <w:color w:val="666666"/>
                <w:sz w:val="19"/>
                <w:szCs w:val="19"/>
              </w:rPr>
              <w:t xml:space="preserve">NOTE</w:t>
            </w:r>
          </w:p>
        </w:tc>
        <w:tc>
          <w:tcPr>
            <w:tcW w:type="dxa" w:w="7760"/>
            <w:tcBorders>
              <w:top w:val="single" w:color="DDDDDD" w:sz="1"/>
              <w:left w:val="single" w:color="DDDDDD" w:sz="1"/>
              <w:bottom w:val="single" w:color="DDDDDD" w:sz="1"/>
              <w:right w:val="single" w:color="DDDDDD" w:sz="1"/>
            </w:tcBorders>
            <w:shd w:fill="FFFFFF" w:val="clear"/>
            <w:tcMar>
              <w:top w:type="dxa" w:w="80"/>
              <w:left w:type="dxa" w:w="160"/>
              <w:bottom w:type="dxa" w:w="80"/>
              <w:right w:type="dxa" w:w="160"/>
            </w:tcMar>
          </w:tcPr>
          <w:p>
            <w:pPr>
              <w:spacing w:after="60" w:before="0"/>
            </w:pPr>
            <w:r>
              <w:rPr>
                <w:rFonts w:ascii="Arial" w:cs="Arial" w:eastAsia="Arial" w:hAnsi="Arial"/>
                <w:color w:val="000000"/>
                <w:sz w:val="21"/>
                <w:szCs w:val="21"/>
              </w:rPr>
              <w:t xml:space="preserve">get_K1(), get_K2(), get_KB() are unimplemented stubs.</w:t>
            </w:r>
          </w:p>
          <w:p>
            <w:pPr>
              <w:pStyle w:val="ListParagraph"/>
              <w:numPr>
                <w:ilvl w:val="0"/>
                <w:numId w:val="2"/>
              </w:numPr>
              <w:spacing w:after="30" w:before="30"/>
            </w:pPr>
            <w:r>
              <w:rPr>
                <w:rFonts w:ascii="Arial" w:cs="Arial" w:eastAsia="Arial" w:hAnsi="Arial"/>
                <w:color w:val="333333"/>
                <w:sz w:val="20"/>
                <w:szCs w:val="20"/>
              </w:rPr>
              <w:t xml:space="preserve">Functions accept a temperature argument in Kelvin but ignore it entirely.</w:t>
            </w:r>
          </w:p>
          <w:p>
            <w:pPr>
              <w:pStyle w:val="ListParagraph"/>
              <w:numPr>
                <w:ilvl w:val="0"/>
                <w:numId w:val="2"/>
              </w:numPr>
              <w:spacing w:after="30" w:before="30"/>
            </w:pPr>
            <w:r>
              <w:rPr>
                <w:rFonts w:ascii="Arial" w:cs="Arial" w:eastAsia="Arial" w:hAnsi="Arial"/>
                <w:color w:val="333333"/>
                <w:sz w:val="20"/>
                <w:szCs w:val="20"/>
              </w:rPr>
              <w:t xml:space="preserve">Return hardcoded approximations: pow(10, -5.847), pow(10, -8.966), pow(10, -8.595).</w:t>
            </w:r>
          </w:p>
          <w:p>
            <w:pPr>
              <w:pStyle w:val="ListParagraph"/>
              <w:numPr>
                <w:ilvl w:val="0"/>
                <w:numId w:val="2"/>
              </w:numPr>
              <w:spacing w:after="30" w:before="30"/>
            </w:pPr>
            <w:r>
              <w:rPr>
                <w:rFonts w:ascii="Arial" w:cs="Arial" w:eastAsia="Arial" w:hAnsi="Arial"/>
                <w:color w:val="333333"/>
                <w:sz w:val="20"/>
                <w:szCs w:val="20"/>
              </w:rPr>
              <w:t xml:space="preserve">Comments read: "Implement standard seawater K1 polynomial here".</w:t>
            </w:r>
          </w:p>
        </w:tc>
      </w:tr>
      <w:tr>
        <w:tc>
          <w:tcPr>
            <w:tcW w:type="dxa" w:w="1600"/>
            <w:tcBorders>
              <w:top w:val="single" w:color="DDDDDD" w:sz="1"/>
              <w:left w:val="single" w:color="DDDDDD" w:sz="1"/>
              <w:bottom w:val="single" w:color="DDDDDD" w:sz="1"/>
              <w:right w:val="single" w:color="DDDDDD" w:sz="1"/>
            </w:tcBorders>
            <w:shd w:fill="F5F5F5" w:val="clear"/>
            <w:tcMar>
              <w:top w:type="dxa" w:w="80"/>
              <w:left w:type="dxa" w:w="140"/>
              <w:bottom w:type="dxa" w:w="80"/>
              <w:right w:type="dxa" w:w="140"/>
            </w:tcMar>
            <w:vAlign w:val="center"/>
          </w:tcPr>
          <w:p>
            <w:pPr>
              <w:jc w:val="center"/>
            </w:pPr>
            <w:r>
              <w:rPr>
                <w:rFonts w:ascii="Arial" w:cs="Arial" w:eastAsia="Arial" w:hAnsi="Arial"/>
                <w:b/>
                <w:bCs/>
                <w:color w:val="666666"/>
                <w:sz w:val="19"/>
                <w:szCs w:val="19"/>
              </w:rPr>
              <w:t xml:space="preserve">NOTE</w:t>
            </w:r>
          </w:p>
        </w:tc>
        <w:tc>
          <w:tcPr>
            <w:tcW w:type="dxa" w:w="7760"/>
            <w:tcBorders>
              <w:top w:val="single" w:color="DDDDDD" w:sz="1"/>
              <w:left w:val="single" w:color="DDDDDD" w:sz="1"/>
              <w:bottom w:val="single" w:color="DDDDDD" w:sz="1"/>
              <w:right w:val="single" w:color="DDDDDD" w:sz="1"/>
            </w:tcBorders>
            <w:shd w:fill="FFFFFF" w:val="clear"/>
            <w:tcMar>
              <w:top w:type="dxa" w:w="80"/>
              <w:left w:type="dxa" w:w="160"/>
              <w:bottom w:type="dxa" w:w="80"/>
              <w:right w:type="dxa" w:w="160"/>
            </w:tcMar>
          </w:tcPr>
          <w:p>
            <w:pPr>
              <w:spacing w:after="0" w:before="0"/>
            </w:pPr>
            <w:r>
              <w:rPr>
                <w:rFonts w:ascii="Arial" w:cs="Arial" w:eastAsia="Arial" w:hAnsi="Arial"/>
                <w:color w:val="000000"/>
                <w:sz w:val="21"/>
                <w:szCs w:val="21"/>
              </w:rPr>
              <w:t xml:space="preserve">read_pH_Probe() returns hardcoded constant 8.15 on every call. No hardware interface.</w:t>
            </w:r>
          </w:p>
        </w:tc>
      </w:tr>
      <w:tr>
        <w:tc>
          <w:tcPr>
            <w:tcW w:type="dxa" w:w="1600"/>
            <w:tcBorders>
              <w:top w:val="single" w:color="DDDDDD" w:sz="1"/>
              <w:left w:val="single" w:color="DDDDDD" w:sz="1"/>
              <w:bottom w:val="single" w:color="DDDDDD" w:sz="1"/>
              <w:right w:val="single" w:color="DDDDDD" w:sz="1"/>
            </w:tcBorders>
            <w:shd w:fill="F5F5F5" w:val="clear"/>
            <w:tcMar>
              <w:top w:type="dxa" w:w="80"/>
              <w:left w:type="dxa" w:w="140"/>
              <w:bottom w:type="dxa" w:w="80"/>
              <w:right w:type="dxa" w:w="140"/>
            </w:tcMar>
            <w:vAlign w:val="center"/>
          </w:tcPr>
          <w:p>
            <w:pPr>
              <w:jc w:val="center"/>
            </w:pPr>
            <w:r>
              <w:rPr>
                <w:rFonts w:ascii="Arial" w:cs="Arial" w:eastAsia="Arial" w:hAnsi="Arial"/>
                <w:b/>
                <w:bCs/>
                <w:color w:val="666666"/>
                <w:sz w:val="19"/>
                <w:szCs w:val="19"/>
              </w:rPr>
              <w:t xml:space="preserve">NOTE</w:t>
            </w:r>
          </w:p>
        </w:tc>
        <w:tc>
          <w:tcPr>
            <w:tcW w:type="dxa" w:w="7760"/>
            <w:tcBorders>
              <w:top w:val="single" w:color="DDDDDD" w:sz="1"/>
              <w:left w:val="single" w:color="DDDDDD" w:sz="1"/>
              <w:bottom w:val="single" w:color="DDDDDD" w:sz="1"/>
              <w:right w:val="single" w:color="DDDDDD" w:sz="1"/>
            </w:tcBorders>
            <w:shd w:fill="FFFFFF" w:val="clear"/>
            <w:tcMar>
              <w:top w:type="dxa" w:w="80"/>
              <w:left w:type="dxa" w:w="160"/>
              <w:bottom w:type="dxa" w:w="80"/>
              <w:right w:type="dxa" w:w="160"/>
            </w:tcMar>
          </w:tcPr>
          <w:p>
            <w:pPr>
              <w:spacing w:after="0" w:before="0"/>
            </w:pPr>
            <w:r>
              <w:rPr>
                <w:rFonts w:ascii="Arial" w:cs="Arial" w:eastAsia="Arial" w:hAnsi="Arial"/>
                <w:color w:val="000000"/>
                <w:sz w:val="21"/>
                <w:szCs w:val="21"/>
              </w:rPr>
              <w:t xml:space="preserve">read_Temp_C() returns hardcoded constant 298.15 K on every call. No hardware interface.</w:t>
            </w:r>
          </w:p>
        </w:tc>
      </w:tr>
      <w:tr>
        <w:tc>
          <w:tcPr>
            <w:tcW w:type="dxa" w:w="1600"/>
            <w:tcBorders>
              <w:top w:val="single" w:color="DDDDDD" w:sz="1"/>
              <w:left w:val="single" w:color="DDDDDD" w:sz="1"/>
              <w:bottom w:val="single" w:color="DDDDDD" w:sz="1"/>
              <w:right w:val="single" w:color="DDDDDD" w:sz="1"/>
            </w:tcBorders>
            <w:shd w:fill="F5F5F5" w:val="clear"/>
            <w:tcMar>
              <w:top w:type="dxa" w:w="80"/>
              <w:left w:type="dxa" w:w="140"/>
              <w:bottom w:type="dxa" w:w="80"/>
              <w:right w:type="dxa" w:w="140"/>
            </w:tcMar>
            <w:vAlign w:val="center"/>
          </w:tcPr>
          <w:p>
            <w:pPr>
              <w:jc w:val="center"/>
            </w:pPr>
            <w:r>
              <w:rPr>
                <w:rFonts w:ascii="Arial" w:cs="Arial" w:eastAsia="Arial" w:hAnsi="Arial"/>
                <w:b/>
                <w:bCs/>
                <w:color w:val="666666"/>
                <w:sz w:val="19"/>
                <w:szCs w:val="19"/>
              </w:rPr>
              <w:t xml:space="preserve">NOTE</w:t>
            </w:r>
          </w:p>
        </w:tc>
        <w:tc>
          <w:tcPr>
            <w:tcW w:type="dxa" w:w="7760"/>
            <w:tcBorders>
              <w:top w:val="single" w:color="DDDDDD" w:sz="1"/>
              <w:left w:val="single" w:color="DDDDDD" w:sz="1"/>
              <w:bottom w:val="single" w:color="DDDDDD" w:sz="1"/>
              <w:right w:val="single" w:color="DDDDDD" w:sz="1"/>
            </w:tcBorders>
            <w:shd w:fill="FFFFFF" w:val="clear"/>
            <w:tcMar>
              <w:top w:type="dxa" w:w="80"/>
              <w:left w:type="dxa" w:w="160"/>
              <w:bottom w:type="dxa" w:w="80"/>
              <w:right w:type="dxa" w:w="160"/>
            </w:tcMar>
          </w:tcPr>
          <w:p>
            <w:pPr>
              <w:spacing w:after="0" w:before="0"/>
            </w:pPr>
            <w:r>
              <w:rPr>
                <w:rFonts w:ascii="Arial" w:cs="Arial" w:eastAsia="Arial" w:hAnsi="Arial"/>
                <w:color w:val="000000"/>
                <w:sz w:val="21"/>
                <w:szCs w:val="21"/>
              </w:rPr>
              <w:t xml:space="preserve">Single pH reading per measurement. No averaging, no standard deviation.</w:t>
            </w:r>
          </w:p>
        </w:tc>
      </w:tr>
      <w:tr>
        <w:tc>
          <w:tcPr>
            <w:tcW w:type="dxa" w:w="1600"/>
            <w:tcBorders>
              <w:top w:val="single" w:color="DDDDDD" w:sz="1"/>
              <w:left w:val="single" w:color="DDDDDD" w:sz="1"/>
              <w:bottom w:val="single" w:color="DDDDDD" w:sz="1"/>
              <w:right w:val="single" w:color="DDDDDD" w:sz="1"/>
            </w:tcBorders>
            <w:shd w:fill="F5F5F5" w:val="clear"/>
            <w:tcMar>
              <w:top w:type="dxa" w:w="80"/>
              <w:left w:type="dxa" w:w="140"/>
              <w:bottom w:type="dxa" w:w="80"/>
              <w:right w:type="dxa" w:w="140"/>
            </w:tcMar>
            <w:vAlign w:val="center"/>
          </w:tcPr>
          <w:p>
            <w:pPr>
              <w:jc w:val="center"/>
            </w:pPr>
            <w:r>
              <w:rPr>
                <w:rFonts w:ascii="Arial" w:cs="Arial" w:eastAsia="Arial" w:hAnsi="Arial"/>
                <w:b/>
                <w:bCs/>
                <w:color w:val="666666"/>
                <w:sz w:val="19"/>
                <w:szCs w:val="19"/>
              </w:rPr>
              <w:t xml:space="preserve">NOTE</w:t>
            </w:r>
          </w:p>
        </w:tc>
        <w:tc>
          <w:tcPr>
            <w:tcW w:type="dxa" w:w="7760"/>
            <w:tcBorders>
              <w:top w:val="single" w:color="DDDDDD" w:sz="1"/>
              <w:left w:val="single" w:color="DDDDDD" w:sz="1"/>
              <w:bottom w:val="single" w:color="DDDDDD" w:sz="1"/>
              <w:right w:val="single" w:color="DDDDDD" w:sz="1"/>
            </w:tcBorders>
            <w:shd w:fill="FFFFFF" w:val="clear"/>
            <w:tcMar>
              <w:top w:type="dxa" w:w="80"/>
              <w:left w:type="dxa" w:w="160"/>
              <w:bottom w:type="dxa" w:w="80"/>
              <w:right w:type="dxa" w:w="160"/>
            </w:tcMar>
          </w:tcPr>
          <w:p>
            <w:pPr>
              <w:spacing w:after="0" w:before="0"/>
            </w:pPr>
            <w:r>
              <w:rPr>
                <w:rFonts w:ascii="Arial" w:cs="Arial" w:eastAsia="Arial" w:hAnsi="Arial"/>
                <w:color w:val="000000"/>
                <w:sz w:val="21"/>
                <w:szCs w:val="21"/>
              </w:rPr>
              <w:t xml:space="preserve">No SIMULATION_MODE compile flag. All sensor stubs silently return fixed values with no indication.</w:t>
            </w:r>
          </w:p>
        </w:tc>
      </w:tr>
      <w:tr>
        <w:tc>
          <w:tcPr>
            <w:tcW w:type="dxa" w:w="1600"/>
            <w:tcBorders>
              <w:top w:val="single" w:color="DDDDDD" w:sz="1"/>
              <w:left w:val="single" w:color="DDDDDD" w:sz="1"/>
              <w:bottom w:val="single" w:color="DDDDDD" w:sz="1"/>
              <w:right w:val="single" w:color="DDDDDD" w:sz="1"/>
            </w:tcBorders>
            <w:shd w:fill="F5F5F5" w:val="clear"/>
            <w:tcMar>
              <w:top w:type="dxa" w:w="80"/>
              <w:left w:type="dxa" w:w="140"/>
              <w:bottom w:type="dxa" w:w="80"/>
              <w:right w:type="dxa" w:w="140"/>
            </w:tcMar>
            <w:vAlign w:val="center"/>
          </w:tcPr>
          <w:p>
            <w:pPr>
              <w:jc w:val="center"/>
            </w:pPr>
            <w:r>
              <w:rPr>
                <w:rFonts w:ascii="Arial" w:cs="Arial" w:eastAsia="Arial" w:hAnsi="Arial"/>
                <w:b/>
                <w:bCs/>
                <w:color w:val="666666"/>
                <w:sz w:val="19"/>
                <w:szCs w:val="19"/>
              </w:rPr>
              <w:t xml:space="preserve">NOTE</w:t>
            </w:r>
          </w:p>
        </w:tc>
        <w:tc>
          <w:tcPr>
            <w:tcW w:type="dxa" w:w="7760"/>
            <w:tcBorders>
              <w:top w:val="single" w:color="DDDDDD" w:sz="1"/>
              <w:left w:val="single" w:color="DDDDDD" w:sz="1"/>
              <w:bottom w:val="single" w:color="DDDDDD" w:sz="1"/>
              <w:right w:val="single" w:color="DDDDDD" w:sz="1"/>
            </w:tcBorders>
            <w:shd w:fill="FFFFFF" w:val="clear"/>
            <w:tcMar>
              <w:top w:type="dxa" w:w="80"/>
              <w:left w:type="dxa" w:w="160"/>
              <w:bottom w:type="dxa" w:w="80"/>
              <w:right w:type="dxa" w:w="160"/>
            </w:tcMar>
          </w:tcPr>
          <w:p>
            <w:pPr>
              <w:spacing w:after="60" w:before="0"/>
            </w:pPr>
            <w:r>
              <w:rPr>
                <w:rFonts w:ascii="Arial" w:cs="Arial" w:eastAsia="Arial" w:hAnsi="Arial"/>
                <w:color w:val="000000"/>
                <w:sz w:val="21"/>
                <w:szCs w:val="21"/>
              </w:rPr>
              <w:t xml:space="preserve">Pump pin assignments include ESP32 SPI flash pins.</w:t>
            </w:r>
          </w:p>
          <w:p>
            <w:pPr>
              <w:pStyle w:val="ListParagraph"/>
              <w:numPr>
                <w:ilvl w:val="0"/>
                <w:numId w:val="2"/>
              </w:numPr>
              <w:spacing w:after="30" w:before="30"/>
            </w:pPr>
            <w:r>
              <w:rPr>
                <w:rFonts w:ascii="Arial" w:cs="Arial" w:eastAsia="Arial" w:hAnsi="Arial"/>
                <w:color w:val="333333"/>
                <w:sz w:val="20"/>
                <w:szCs w:val="20"/>
              </w:rPr>
              <w:t xml:space="preserve">PUMP_TANK = 6, PUMP_WASTE = 7, AIR_PUMP = 8.</w:t>
            </w:r>
          </w:p>
          <w:p>
            <w:pPr>
              <w:pStyle w:val="ListParagraph"/>
              <w:numPr>
                <w:ilvl w:val="0"/>
                <w:numId w:val="2"/>
              </w:numPr>
              <w:spacing w:after="30" w:before="30"/>
            </w:pPr>
            <w:r>
              <w:rPr>
                <w:rFonts w:ascii="Arial" w:cs="Arial" w:eastAsia="Arial" w:hAnsi="Arial"/>
                <w:color w:val="333333"/>
                <w:sz w:val="20"/>
                <w:szCs w:val="20"/>
              </w:rPr>
              <w:t xml:space="preserve">GPIO 6–11 are internal flash on all ESP32 DevKit boards. Cannot be used as GPIO.</w:t>
            </w:r>
          </w:p>
        </w:tc>
      </w:tr>
      <w:tr>
        <w:tc>
          <w:tcPr>
            <w:tcW w:type="dxa" w:w="1600"/>
            <w:tcBorders>
              <w:top w:val="single" w:color="DDDDDD" w:sz="1"/>
              <w:left w:val="single" w:color="DDDDDD" w:sz="1"/>
              <w:bottom w:val="single" w:color="DDDDDD" w:sz="1"/>
              <w:right w:val="single" w:color="DDDDDD" w:sz="1"/>
            </w:tcBorders>
            <w:shd w:fill="F5F5F5" w:val="clear"/>
            <w:tcMar>
              <w:top w:type="dxa" w:w="80"/>
              <w:left w:type="dxa" w:w="140"/>
              <w:bottom w:type="dxa" w:w="80"/>
              <w:right w:type="dxa" w:w="140"/>
            </w:tcMar>
            <w:vAlign w:val="center"/>
          </w:tcPr>
          <w:p>
            <w:pPr>
              <w:jc w:val="center"/>
            </w:pPr>
            <w:r>
              <w:rPr>
                <w:rFonts w:ascii="Arial" w:cs="Arial" w:eastAsia="Arial" w:hAnsi="Arial"/>
                <w:b/>
                <w:bCs/>
                <w:color w:val="666666"/>
                <w:sz w:val="19"/>
                <w:szCs w:val="19"/>
              </w:rPr>
              <w:t xml:space="preserve">NOTE</w:t>
            </w:r>
          </w:p>
        </w:tc>
        <w:tc>
          <w:tcPr>
            <w:tcW w:type="dxa" w:w="7760"/>
            <w:tcBorders>
              <w:top w:val="single" w:color="DDDDDD" w:sz="1"/>
              <w:left w:val="single" w:color="DDDDDD" w:sz="1"/>
              <w:bottom w:val="single" w:color="DDDDDD" w:sz="1"/>
              <w:right w:val="single" w:color="DDDDDD" w:sz="1"/>
            </w:tcBorders>
            <w:shd w:fill="FFFFFF" w:val="clear"/>
            <w:tcMar>
              <w:top w:type="dxa" w:w="80"/>
              <w:left w:type="dxa" w:w="160"/>
              <w:bottom w:type="dxa" w:w="80"/>
              <w:right w:type="dxa" w:w="160"/>
            </w:tcMar>
          </w:tcPr>
          <w:p>
            <w:pPr>
              <w:spacing w:after="0" w:before="0"/>
            </w:pPr>
            <w:r>
              <w:rPr>
                <w:rFonts w:ascii="Arial" w:cs="Arial" w:eastAsia="Arial" w:hAnsi="Arial"/>
                <w:color w:val="000000"/>
                <w:sz w:val="21"/>
                <w:szCs w:val="21"/>
              </w:rPr>
              <w:t xml:space="preserve">All delays blocking. delay(AERATE_TIME_MS) and delay(TEST_INTERVAL_MS) prevent all serial processing.</w:t>
            </w:r>
          </w:p>
        </w:tc>
      </w:tr>
      <w:tr>
        <w:tc>
          <w:tcPr>
            <w:tcW w:type="dxa" w:w="1600"/>
            <w:tcBorders>
              <w:top w:val="single" w:color="DDDDDD" w:sz="1"/>
              <w:left w:val="single" w:color="DDDDDD" w:sz="1"/>
              <w:bottom w:val="single" w:color="DDDDDD" w:sz="1"/>
              <w:right w:val="single" w:color="DDDDDD" w:sz="1"/>
            </w:tcBorders>
            <w:shd w:fill="F5F5F5" w:val="clear"/>
            <w:tcMar>
              <w:top w:type="dxa" w:w="80"/>
              <w:left w:type="dxa" w:w="140"/>
              <w:bottom w:type="dxa" w:w="80"/>
              <w:right w:type="dxa" w:w="140"/>
            </w:tcMar>
            <w:vAlign w:val="center"/>
          </w:tcPr>
          <w:p>
            <w:pPr>
              <w:jc w:val="center"/>
            </w:pPr>
            <w:r>
              <w:rPr>
                <w:rFonts w:ascii="Arial" w:cs="Arial" w:eastAsia="Arial" w:hAnsi="Arial"/>
                <w:b/>
                <w:bCs/>
                <w:color w:val="666666"/>
                <w:sz w:val="19"/>
                <w:szCs w:val="19"/>
              </w:rPr>
              <w:t xml:space="preserve">NOTE</w:t>
            </w:r>
          </w:p>
        </w:tc>
        <w:tc>
          <w:tcPr>
            <w:tcW w:type="dxa" w:w="7760"/>
            <w:tcBorders>
              <w:top w:val="single" w:color="DDDDDD" w:sz="1"/>
              <w:left w:val="single" w:color="DDDDDD" w:sz="1"/>
              <w:bottom w:val="single" w:color="DDDDDD" w:sz="1"/>
              <w:right w:val="single" w:color="DDDDDD" w:sz="1"/>
            </w:tcBorders>
            <w:shd w:fill="FFFFFF" w:val="clear"/>
            <w:tcMar>
              <w:top w:type="dxa" w:w="80"/>
              <w:left w:type="dxa" w:w="160"/>
              <w:bottom w:type="dxa" w:w="80"/>
              <w:right w:type="dxa" w:w="160"/>
            </w:tcMar>
          </w:tcPr>
          <w:p>
            <w:pPr>
              <w:spacing w:after="0" w:before="0"/>
            </w:pPr>
            <w:r>
              <w:rPr>
                <w:rFonts w:ascii="Arial" w:cs="Arial" w:eastAsia="Arial" w:hAnsi="Arial"/>
                <w:color w:val="000000"/>
                <w:sz w:val="21"/>
                <w:szCs w:val="21"/>
              </w:rPr>
              <w:t xml:space="preserve">No EEPROM signature validation. Raw float read with no sanity check.</w:t>
            </w:r>
          </w:p>
        </w:tc>
      </w:tr>
      <w:tr>
        <w:tc>
          <w:tcPr>
            <w:tcW w:type="dxa" w:w="1600"/>
            <w:tcBorders>
              <w:top w:val="single" w:color="DDDDDD" w:sz="1"/>
              <w:left w:val="single" w:color="DDDDDD" w:sz="1"/>
              <w:bottom w:val="single" w:color="DDDDDD" w:sz="1"/>
              <w:right w:val="single" w:color="DDDDDD" w:sz="1"/>
            </w:tcBorders>
            <w:shd w:fill="F5F5F5" w:val="clear"/>
            <w:tcMar>
              <w:top w:type="dxa" w:w="80"/>
              <w:left w:type="dxa" w:w="140"/>
              <w:bottom w:type="dxa" w:w="80"/>
              <w:right w:type="dxa" w:w="140"/>
            </w:tcMar>
            <w:vAlign w:val="center"/>
          </w:tcPr>
          <w:p>
            <w:pPr>
              <w:jc w:val="center"/>
            </w:pPr>
            <w:r>
              <w:rPr>
                <w:rFonts w:ascii="Arial" w:cs="Arial" w:eastAsia="Arial" w:hAnsi="Arial"/>
                <w:b/>
                <w:bCs/>
                <w:color w:val="666666"/>
                <w:sz w:val="19"/>
                <w:szCs w:val="19"/>
              </w:rPr>
              <w:t xml:space="preserve">NOTE</w:t>
            </w:r>
          </w:p>
        </w:tc>
        <w:tc>
          <w:tcPr>
            <w:tcW w:type="dxa" w:w="7760"/>
            <w:tcBorders>
              <w:top w:val="single" w:color="DDDDDD" w:sz="1"/>
              <w:left w:val="single" w:color="DDDDDD" w:sz="1"/>
              <w:bottom w:val="single" w:color="DDDDDD" w:sz="1"/>
              <w:right w:val="single" w:color="DDDDDD" w:sz="1"/>
            </w:tcBorders>
            <w:shd w:fill="FFFFFF" w:val="clear"/>
            <w:tcMar>
              <w:top w:type="dxa" w:w="80"/>
              <w:left w:type="dxa" w:w="160"/>
              <w:bottom w:type="dxa" w:w="80"/>
              <w:right w:type="dxa" w:w="160"/>
            </w:tcMar>
          </w:tcPr>
          <w:p>
            <w:pPr>
              <w:spacing w:after="0" w:before="0"/>
            </w:pPr>
            <w:r>
              <w:rPr>
                <w:rFonts w:ascii="Arial" w:cs="Arial" w:eastAsia="Arial" w:hAnsi="Arial"/>
                <w:color w:val="000000"/>
                <w:sz w:val="21"/>
                <w:szCs w:val="21"/>
              </w:rPr>
              <w:t xml:space="preserve">No BNC/DAC trend output.</w:t>
            </w:r>
          </w:p>
        </w:tc>
      </w:tr>
      <w:tr>
        <w:tc>
          <w:tcPr>
            <w:tcW w:type="dxa" w:w="1600"/>
            <w:tcBorders>
              <w:top w:val="single" w:color="DDDDDD" w:sz="1"/>
              <w:left w:val="single" w:color="DDDDDD" w:sz="1"/>
              <w:bottom w:val="single" w:color="DDDDDD" w:sz="1"/>
              <w:right w:val="single" w:color="DDDDDD" w:sz="1"/>
            </w:tcBorders>
            <w:shd w:fill="F5F5F5" w:val="clear"/>
            <w:tcMar>
              <w:top w:type="dxa" w:w="80"/>
              <w:left w:type="dxa" w:w="140"/>
              <w:bottom w:type="dxa" w:w="80"/>
              <w:right w:type="dxa" w:w="140"/>
            </w:tcMar>
            <w:vAlign w:val="center"/>
          </w:tcPr>
          <w:p>
            <w:pPr>
              <w:jc w:val="center"/>
            </w:pPr>
            <w:r>
              <w:rPr>
                <w:rFonts w:ascii="Arial" w:cs="Arial" w:eastAsia="Arial" w:hAnsi="Arial"/>
                <w:b/>
                <w:bCs/>
                <w:color w:val="666666"/>
                <w:sz w:val="19"/>
                <w:szCs w:val="19"/>
              </w:rPr>
              <w:t xml:space="preserve">NOTE</w:t>
            </w:r>
          </w:p>
        </w:tc>
        <w:tc>
          <w:tcPr>
            <w:tcW w:type="dxa" w:w="7760"/>
            <w:tcBorders>
              <w:top w:val="single" w:color="DDDDDD" w:sz="1"/>
              <w:left w:val="single" w:color="DDDDDD" w:sz="1"/>
              <w:bottom w:val="single" w:color="DDDDDD" w:sz="1"/>
              <w:right w:val="single" w:color="DDDDDD" w:sz="1"/>
            </w:tcBorders>
            <w:shd w:fill="FFFFFF" w:val="clear"/>
            <w:tcMar>
              <w:top w:type="dxa" w:w="80"/>
              <w:left w:type="dxa" w:w="160"/>
              <w:bottom w:type="dxa" w:w="80"/>
              <w:right w:type="dxa" w:w="160"/>
            </w:tcMar>
          </w:tcPr>
          <w:p>
            <w:pPr>
              <w:spacing w:after="0" w:before="0"/>
            </w:pPr>
            <w:r>
              <w:rPr>
                <w:rFonts w:ascii="Arial" w:cs="Arial" w:eastAsia="Arial" w:hAnsi="Arial"/>
                <w:color w:val="000000"/>
                <w:sz w:val="21"/>
                <w:szCs w:val="21"/>
              </w:rPr>
              <w:t xml:space="preserve">No flush rinse cycle between reference and tank measurements.</w:t>
            </w:r>
          </w:p>
        </w:tc>
      </w:tr>
      <w:tr>
        <w:tc>
          <w:tcPr>
            <w:tcW w:type="dxa" w:w="1600"/>
            <w:tcBorders>
              <w:top w:val="single" w:color="DDDDDD" w:sz="1"/>
              <w:left w:val="single" w:color="DDDDDD" w:sz="1"/>
              <w:bottom w:val="single" w:color="DDDDDD" w:sz="1"/>
              <w:right w:val="single" w:color="DDDDDD" w:sz="1"/>
            </w:tcBorders>
            <w:shd w:fill="F5F5F5" w:val="clear"/>
            <w:tcMar>
              <w:top w:type="dxa" w:w="80"/>
              <w:left w:type="dxa" w:w="140"/>
              <w:bottom w:type="dxa" w:w="80"/>
              <w:right w:type="dxa" w:w="140"/>
            </w:tcMar>
            <w:vAlign w:val="center"/>
          </w:tcPr>
          <w:p>
            <w:pPr>
              <w:jc w:val="center"/>
            </w:pPr>
            <w:r>
              <w:rPr>
                <w:rFonts w:ascii="Arial" w:cs="Arial" w:eastAsia="Arial" w:hAnsi="Arial"/>
                <w:b/>
                <w:bCs/>
                <w:color w:val="666666"/>
                <w:sz w:val="19"/>
                <w:szCs w:val="19"/>
              </w:rPr>
              <w:t xml:space="preserve">NOTE</w:t>
            </w:r>
          </w:p>
        </w:tc>
        <w:tc>
          <w:tcPr>
            <w:tcW w:type="dxa" w:w="7760"/>
            <w:tcBorders>
              <w:top w:val="single" w:color="DDDDDD" w:sz="1"/>
              <w:left w:val="single" w:color="DDDDDD" w:sz="1"/>
              <w:bottom w:val="single" w:color="DDDDDD" w:sz="1"/>
              <w:right w:val="single" w:color="DDDDDD" w:sz="1"/>
            </w:tcBorders>
            <w:shd w:fill="FFFFFF" w:val="clear"/>
            <w:tcMar>
              <w:top w:type="dxa" w:w="80"/>
              <w:left w:type="dxa" w:w="160"/>
              <w:bottom w:type="dxa" w:w="80"/>
              <w:right w:type="dxa" w:w="160"/>
            </w:tcMar>
          </w:tcPr>
          <w:p>
            <w:pPr>
              <w:spacing w:after="0" w:before="0"/>
            </w:pPr>
            <w:r>
              <w:rPr>
                <w:rFonts w:ascii="Arial" w:cs="Arial" w:eastAsia="Arial" w:hAnsi="Arial"/>
                <w:color w:val="000000"/>
                <w:sz w:val="21"/>
                <w:szCs w:val="21"/>
              </w:rPr>
              <w:t xml:space="preserve">No fault range checks on pH, temperature, or result.</w:t>
            </w:r>
          </w:p>
        </w:tc>
      </w:tr>
    </w:tbl>
    <w:p>
      <w:pPr>
        <w:spacing w:after="80" w:before="200"/>
      </w:pPr>
    </w:p>
    <w:p>
      <w:pPr>
        <w:pBdr>
          <w:top w:val="single" w:color="1A6B6B" w:sz="4" w:space="8"/>
        </w:pBdr>
        <w:spacing w:after="60" w:before="160"/>
        <w:jc w:val="center"/>
      </w:pPr>
      <w:r>
        <w:rPr>
          <w:rFonts w:ascii="Arial" w:cs="Arial" w:eastAsia="Arial" w:hAnsi="Arial"/>
          <w:color w:val="666666"/>
          <w:sz w:val="18"/>
          <w:szCs w:val="18"/>
        </w:rPr>
        <w:t xml:space="preserve">Telegraham Tested  •  DIY Ratiometric Alkalinity Monitor  •  Firmware Changelog  •  CC0 1.0 — No rights reserved</w:t>
      </w:r>
    </w:p>
    <w:sectPr>
      <w:headerReference w:type="default" r:id="rId7"/>
      <w:footerReference w:type="default" r:id="rId8"/>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4"/>
      </w:pBdr>
      <w:tabs>
        <w:tab w:val="right" w:pos="9360"/>
      </w:tabs>
      <w:spacing w:before="60"/>
    </w:pPr>
    <w:r>
      <w:rPr>
        <w:rFonts w:ascii="Arial" w:cs="Arial" w:eastAsia="Arial" w:hAnsi="Arial"/>
        <w:color w:val="666666"/>
        <w:sz w:val="18"/>
        <w:szCs w:val="18"/>
      </w:rPr>
      <w:t xml:space="preserve">Telegraham Tested  •  Current: v2.1.2  •  CC0 1.0 — No rights reserved</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A6B6B" w:sz="4" w:space="4"/>
      </w:pBdr>
      <w:tabs>
        <w:tab w:val="right" w:pos="9360"/>
      </w:tabs>
      <w:spacing w:after="0"/>
    </w:pPr>
    <w:r>
      <w:rPr>
        <w:rFonts w:ascii="Arial" w:cs="Arial" w:eastAsia="Arial" w:hAnsi="Arial"/>
        <w:b/>
        <w:bCs/>
        <w:color w:val="1A6B6B"/>
        <w:sz w:val="18"/>
        <w:szCs w:val="18"/>
      </w:rPr>
      <w:t xml:space="preserve">DIY Ratiometric Alkalinity Monitor</w:t>
    </w:r>
    <w:r>
      <w:rPr>
        <w:sz w:val="18"/>
        <w:szCs w:val="18"/>
      </w:rPr>
      <w:t xml:space="preserve">	</w:t>
    </w:r>
    <w:r>
      <w:rPr>
        <w:rFonts w:ascii="Arial" w:cs="Arial" w:eastAsia="Arial" w:hAnsi="Arial"/>
        <w:color w:val="666666"/>
        <w:sz w:val="18"/>
        <w:szCs w:val="18"/>
      </w:rPr>
      <w:t xml:space="preserve">Firmware Changelog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abstractNum w:abstractNumId="3"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440"/>
      <w:outlineLvl w:val="0"/>
    </w:pPr>
    <w:rPr>
      <w:rFonts w:ascii="Arial" w:cs="Arial" w:eastAsia="Arial" w:hAnsi="Arial"/>
      <w:b/>
      <w:bCs/>
      <w:color w:val="1A6B6B"/>
      <w:sz w:val="34"/>
      <w:szCs w:val="34"/>
    </w:rPr>
  </w:style>
  <w:style w:type="paragraph" w:styleId="Heading2">
    <w:name w:val="Heading 2"/>
    <w:basedOn w:val="Normal"/>
    <w:next w:val="Normal"/>
    <w:qFormat/>
    <w:pPr>
      <w:spacing w:after="80" w:before="280"/>
      <w:outlineLvl w:val="1"/>
    </w:pPr>
    <w:rPr>
      <w:rFonts w:ascii="Arial" w:cs="Arial" w:eastAsia="Arial" w:hAnsi="Arial"/>
      <w:b/>
      <w:bCs/>
      <w:color w:val="1A6B6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2026-05-19T11:16:01.924Z</dcterms:created>
  <dcterms:modified xsi:type="dcterms:W3CDTF">2026-05-19T11:16:01.924Z</dcterms:modified>
</cp:coreProperties>
</file>

<file path=docProps/custom.xml><?xml version="1.0" encoding="utf-8"?>
<Properties xmlns="http://schemas.openxmlformats.org/officeDocument/2006/custom-properties" xmlns:vt="http://schemas.openxmlformats.org/officeDocument/2006/docPropsVTypes"/>
</file>