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82194041711449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CLIP Zero-Shot vs. ViT+LoRA for Industrial Anomaly Detection</w:t>
      </w:r>
    </w:p>
    <w:p>
      <w:pPr>
        <w:pStyle w:val="Author"/>
      </w:pPr>
      <w:r>
        <w:t>MAAI901 — Deep Learning for Visual Data</w:t>
      </w:r>
    </w:p>
    <w:p>
      <w:pPr>
        <w:pStyle w:val="Author"/>
      </w:pPr>
      <w:r>
        <w:t>University of Wollongong in Dubai</w:t>
      </w:r>
    </w:p>
    <w:p>
      <w:pPr>
        <w:pStyle w:val="Author"/>
      </w:pPr>
      <w:r>
        <w:t>October 2026</w:t>
      </w:r>
    </w:p>
    <w:p>
      <w:pPr>
        <w:pStyle w:val="Abstract"/>
      </w:pPr>
      <w:r>
        <w:rPr>
          <w:b/>
          <w:i/>
        </w:rPr>
        <w:t>Abstract</w:t>
      </w:r>
      <w:r>
        <w:rPr>
          <w:b/>
          <w:i/>
        </w:rPr>
        <w:t>—</w:t>
      </w:r>
      <w:r>
        <w:rPr>
          <w:i/>
        </w:rPr>
        <w:t>Industrial visual inspection plays a key role in modern manufacturing, however Deep Learning methods require large amounts of labelled data; which can be expensive and time-consuming to gather. Zero-shot anomaly detection with vision-language models (such as CLIP) have been proposed as a possible solution. However, little is known about how effective the methods are in practice compared to light-weight supervised approaches such as LoRA adapted Vision Transformers. In this study we compare CLIP zero-shot anomaly detection with ViT+LoRA supervised fine-tuning on all 15 categories on the MVTec AD benchmark. We found that ViT+LoRA performs significantly better than CLIP with a mean image level AUROC score of 0.941 compared to CLIP's 0.736 (very large effect size: Cohen's d = 1.89). It also outperformed CLIP on 14 out of the 15 categories. Most improvements were seen on object categories with small structural defects. CLIP performed competitively on texture categories and outperformed ViT+LoRA on carpet. This suggests it could be viable as a zero cost baseline in specific cases. Implications, limitations such as bias in the data and sensitivity to prompts and ethical considerations were discussed.</w:t>
      </w:r>
    </w:p>
    <w:p>
      <w:pPr>
        <w:spacing w:after="120"/>
      </w:pPr>
      <w:r>
        <w:rPr>
          <w:b/>
          <w:sz w:val="18"/>
        </w:rPr>
        <w:t>Keywords</w:t>
      </w:r>
      <w:r>
        <w:rPr>
          <w:sz w:val="18"/>
        </w:rPr>
        <w:t>—anomaly detection, CLIP, LoRA, Vision Transformer, MVTec AD, zero-shot learning, industrial inspection</w:t>
      </w:r>
    </w:p>
    <w:p>
      <w:pPr>
        <w:pStyle w:val="Section"/>
      </w:pPr>
      <w:r>
        <w:t>I. INTRODUCTION</w:t>
      </w:r>
    </w:p>
    <w:p>
      <w:pPr>
        <w:pStyle w:val="Subsection"/>
      </w:pPr>
      <w:r>
        <w:t>A. Motivation</w:t>
      </w:r>
    </w:p>
    <w:p>
      <w:r>
        <w:t>Industrial visual anomaly detection is one of the most impactful real-world applications of computer vision. In contrast to traditional classification, anomaly detection aims to detect deviations from a learnt norm. In an industrial setting this would be detecting faulty items in production.</w:t>
      </w:r>
    </w:p>
    <w:p>
      <w:r>
        <w:t>Traditional deep learning techniques face issues due to extreme class imbalances. There can be thousands or millions of normal samples produced on a production line compared to the number of faulty items. The types of faults can also be very varied. It soon becomes too costly to collect enough abnormal samples to train on for every different product variation. Introducing new product lines requires going back to the start of the data collection process.</w:t>
      </w:r>
    </w:p>
    <w:p>
      <w:r>
        <w:t>Recent advances have been made in zero shot anomaly detection using CLIP (Contrastive Language-Image Pre-training). This technique exploits the vision-language alignment to detect anomalies without using any task specific training data. All it requires is text describing what a normal item should look like and what a faulty item looks like. Additionally, parameter efficient fine-tuning techniques such as LoRA (Low-Rank Adaptation) allow you to effectively fine tune very large pre-trained Vision Transformers with minimal parameters being updated. This study compares these two methods to give practical advice based on evidence.</w:t>
      </w:r>
    </w:p>
    <w:p>
      <w:pPr>
        <w:pStyle w:val="Subsection"/>
      </w:pPr>
      <w:r>
        <w:t>B. Research Questions</w:t>
      </w:r>
    </w:p>
    <w:p>
      <w:r>
        <w:t>This investigation addresses four specific research questions:</w:t>
      </w:r>
    </w:p>
    <w:p>
      <w:r>
        <w:t>RQ1. What is the quantitative performance gap between CLIP zero-shot and ViT+LoRA supervised fine-tuning across all 15 MVTec AD categories?</w:t>
      </w:r>
    </w:p>
    <w:p>
      <w:r>
        <w:t>RQ2. Do object and texture categories exhibit differential performance under each approach?</w:t>
      </w:r>
    </w:p>
    <w:p>
      <w:r>
        <w:t>RQ3. Is the observed performance difference statistically significant and practically meaningful?</w:t>
      </w:r>
    </w:p>
    <w:p>
      <w:r>
        <w:t>RQ4. Under what practical constraints should practitioners prefer one method over the other?</w:t>
      </w:r>
    </w:p>
    <w:p>
      <w:pPr>
        <w:pStyle w:val="Section"/>
      </w:pPr>
      <w:r>
        <w:t>II. RELATED WORK</w:t>
      </w:r>
    </w:p>
    <w:p>
      <w:pPr>
        <w:pStyle w:val="Subsection"/>
      </w:pPr>
      <w:r>
        <w:t>A. CLIP for Zero-Shot Detection</w:t>
      </w:r>
    </w:p>
    <w:p>
      <w:r>
        <w:t>CLIP (Radford et al., 2021) is pre-trained using contrastive learning on a large dataset of 400 million image-text pairs. The pre-trained models contain vision and text encoders that can be used to perform zero-shot transfer tasks. By comparing the embeddings of an image with the embeddings of text prompts, we can determine the similarity between them. This is great for anomaly detection as we do not need any training samples specific to the task.</w:t>
      </w:r>
    </w:p>
    <w:p>
      <w:r>
        <w:t>Later improvements have been made to this, including HeadCLIP proposed by Jeong and Jo (2026). This improves the separation of features by fine-tuning specific attention heads. Jiang et al. (2025) combined CLIP with DINOv2 to form a multimodal fusion model. This produced good results with an average AUROC of 93.4% across seven benchmarks. Another improvement was made by Zhu et al. (2026) who combined CLIP with SAM.</w:t>
      </w:r>
    </w:p>
    <w:p>
      <w:r>
        <w:t>However, CLIP based zero shot methods are highly sensitive to changes in lighting, camera angle and object placement (Dohi et al., 2026). This is a problem given these factors are hard to control in a real world manufacturing setting. This is why we directly compare with supervised methods.</w:t>
      </w:r>
    </w:p>
    <w:p>
      <w:pPr>
        <w:pStyle w:val="Subsection"/>
      </w:pPr>
      <w:r>
        <w:t>B. Fine-Tuning with LoRA</w:t>
      </w:r>
    </w:p>
    <w:p>
      <w:r>
        <w:t>Complete tuning of Vision Transformers involves tuning all 86 million parameters at once, which can be computationally and memory intensive. To overcome this problem, Hu et al. (2022) introduced Low-Rank Adaptation (LoRA). This adapts the original pre-trained weight matrix W by adding two new trainable low rank decomposition matrices B and A. This results in a modified forward pass of W + BA. By using a low rank decomposition of r = 16 this method only has approximately 2.4 million tunable parameters in each adapter and retains the representation capabilities.</w:t>
      </w:r>
    </w:p>
    <w:p>
      <w:r>
        <w:t>Li et al. (2026) investigated another direction using the Myriad large multi-modal model. This adapts to the input by selecting different vision experts. However, this is not a light-weight fine-tuning method.</w:t>
      </w:r>
    </w:p>
    <w:p>
      <w:pPr>
        <w:pStyle w:val="Section"/>
      </w:pPr>
      <w:r>
        <w:t>III. METHODOLOGY</w:t>
      </w:r>
    </w:p>
    <w:p>
      <w:pPr>
        <w:pStyle w:val="Subsection"/>
      </w:pPr>
      <w:r>
        <w:t>A. The CLIP Baseline</w:t>
      </w:r>
    </w:p>
    <w:p>
      <w:r>
        <w:t>Our CLIP baseline employs the openai/clip-vit-base-patch32 model from Hugging Face. The anomaly detection pipeline proceeds as follows:</w:t>
      </w:r>
    </w:p>
    <w:p>
      <w:r>
        <w:rPr>
          <w:b/>
        </w:rPr>
        <w:t>Prompt Engineering.</w:t>
      </w:r>
    </w:p>
    <w:p>
      <w:r>
        <w:t>For each category we create two text prompts. 'a photo of a normal [category]' and 'a photo of a defective [category]'. We avoid complex prompt engineering here to provide a reliable and generalisable baseline.</w:t>
      </w:r>
    </w:p>
    <w:p>
      <w:r>
        <w:rPr>
          <w:b/>
        </w:rPr>
        <w:t>Embedding Extraction.</w:t>
      </w:r>
    </w:p>
    <w:p>
      <w:r>
        <w:t>Each image in the test set will be processed by the CLIP vision encoder to get a 512 dimensional embedding. The text prompts will also be passed into the text encoder.</w:t>
      </w:r>
    </w:p>
    <w:p>
      <w:r>
        <w:rPr>
          <w:b/>
        </w:rPr>
        <w:t>Anomaly Score.</w:t>
      </w:r>
    </w:p>
    <w:p>
      <w:r>
        <w:t>The anomaly score can be calculated by finding the cosine similarities of the defective and normal prompts, and subtracting the cosine similarity of the normal prompt from the defective. The higher the score, the more anomalous the image is.</w:t>
      </w:r>
    </w:p>
    <w:p>
      <w:r>
        <w:rPr>
          <w:b/>
        </w:rPr>
        <w:t>Evaluation.</w:t>
      </w:r>
    </w:p>
    <w:p>
      <w:r>
        <w:t>Images can be ordered according to their anomaly score. We can then calculate the AUROC score of the images based on the true binary labels.</w:t>
      </w:r>
    </w:p>
    <w:p>
      <w:r>
        <w:t>Critically, no parameters are updated during this process — CLIP operates purely via its pre-trained knowledge.</w:t>
      </w:r>
    </w:p>
    <w:p>
      <w:pPr>
        <w:pStyle w:val="Subsection"/>
      </w:pPr>
      <w:r>
        <w:t>B. The ViT+LoRA Model</w:t>
      </w:r>
    </w:p>
    <w:p>
      <w:r>
        <w:t>Our supervised approach uses google/vit-base-patch16-224 as the backbone, with LoRA applied via the PEFT library. Configuration parameters are:</w:t>
      </w:r>
    </w:p>
    <w:p>
      <w:r>
        <w:t>LoRA rank r = 16, alpha = 32. Target modules: query and value projection layers. Dropout: 0.1. Trainable parameters: approximately 2.4M per adapter.</w:t>
      </w:r>
    </w:p>
    <w:p>
      <w:r>
        <w:t>Training configuration: Optimizer: AdamW with weight decay 0.01. Learning rate: 1×10^-4 with 100-step linear warmup and cosine decay. Batch size: 32. Loss: BCEWithLogitsLoss. Epochs: 5 per category.</w:t>
      </w:r>
    </w:p>
    <w:p>
      <w:r>
        <w:t>A separate LoRA adapter is trained for each of the 15 categories, requiring approximately 3 minutes per adapter on a T4 GPU. Initial experiments with rank r = 8 proved insufficient for categories such as screw, motivating our choice of r = 16.</w:t>
      </w:r>
    </w:p>
    <w:p>
      <w:pPr>
        <w:pStyle w:val="Section"/>
      </w:pPr>
      <w:r>
        <w:t>IV. EXPERIMENTAL SETUP</w:t>
      </w:r>
    </w:p>
    <w:p>
      <w:pPr>
        <w:pStyle w:val="Subsection"/>
      </w:pPr>
      <w:r>
        <w:t>A. Dataset</w:t>
      </w:r>
    </w:p>
    <w:p>
      <w:r>
        <w:t>The MVTec AD dataset is a gold standard benchmark for unsupervised anomaly detection. It contains 15 classes (10 object classes and 5 texture classes). There are 5354 images in total, all at a high resolution of 1024 x 1024px. All anomalous areas in the images have ground truth masks. The training set consists of only normal samples, whereas the test set contains both normal and anomalous samples. The dataset can be accessed through the FiftyOne Hub using fo.load_dataset("Voxel51/mvtec-ad").</w:t>
      </w:r>
    </w:p>
    <w:p>
      <w:pPr>
        <w:pStyle w:val="TableCaption"/>
      </w:pPr>
      <w:r>
        <w:t>TABLE I</w:t>
      </w:r>
    </w:p>
    <w:p>
      <w:pPr>
        <w:pStyle w:val="TableCaption"/>
      </w:pPr>
      <w:r>
        <w:t>DATASET SUMMARY</w:t>
      </w:r>
    </w:p>
    <w:tbl>
      <w:tblPr>
        <w:tblW w:w="5000" w:type="pct"/>
        <w:tblBorders>
          <w:top w:val="single" w:color="000000" w:sz="6"/>
          <w:left w:val="nil"/>
          <w:bottom w:val="single" w:color="000000" w:sz="6"/>
          <w:right w:val="nil"/>
          <w:insideH w:val="nil"/>
          <w:insideV w:val="nil"/>
        </w:tblBorders>
      </w:tblPr>
      <w:tblGrid>
        <w:gridCol w:w="4200"/>
        <w:gridCol w:w="5400"/>
      </w:tblGrid>
      <w:tr>
        <w:trPr>
          <w:tblHeader/>
        </w:trPr>
        <w:tc>
          <w:tcPr>
            <w:tcW w:w="4200" w:type="dxa"/>
            <w:shd w:val="clear" w:fill="eeeeee"/>
          </w:tcPr>
          <w:p>
            <w:pPr>
              <w:spacing w:before="20" w:after="20"/>
              <w:jc w:val="center"/>
            </w:pPr>
            <w:r>
              <w:rPr>
                <w:b/>
                <w:color w:val="000000"/>
                <w:sz w:val="16"/>
              </w:rPr>
              <w:t>Attribute</w:t>
            </w:r>
          </w:p>
        </w:tc>
        <w:tc>
          <w:tcPr>
            <w:tcW w:w="5400" w:type="dxa"/>
            <w:shd w:val="clear" w:fill="eeeeee"/>
          </w:tcPr>
          <w:p>
            <w:pPr>
              <w:spacing w:before="20" w:after="20"/>
              <w:jc w:val="center"/>
            </w:pPr>
            <w:r>
              <w:rPr>
                <w:b/>
                <w:color w:val="000000"/>
                <w:sz w:val="16"/>
              </w:rPr>
              <w:t>Value</w:t>
            </w:r>
          </w:p>
        </w:tc>
      </w:tr>
      <w:tr>
        <w:tc>
          <w:tcPr>
            <w:tcW w:w="4200" w:type="dxa"/>
          </w:tcPr>
          <w:p>
            <w:pPr>
              <w:spacing w:before="20" w:after="20"/>
              <w:jc w:val="center"/>
            </w:pPr>
            <w:r>
              <w:rPr>
                <w:color w:val="000000"/>
                <w:sz w:val="16"/>
              </w:rPr>
              <w:t>Number of Classes</w:t>
            </w:r>
          </w:p>
        </w:tc>
        <w:tc>
          <w:tcPr>
            <w:tcW w:w="5400" w:type="dxa"/>
          </w:tcPr>
          <w:p>
            <w:pPr>
              <w:spacing w:before="20" w:after="20"/>
              <w:jc w:val="center"/>
            </w:pPr>
            <w:r>
              <w:rPr>
                <w:color w:val="000000"/>
                <w:sz w:val="16"/>
              </w:rPr>
              <w:t>15 (10 objects, 5 textures)</w:t>
            </w:r>
          </w:p>
        </w:tc>
      </w:tr>
      <w:tr>
        <w:tc>
          <w:tcPr>
            <w:tcW w:w="4200" w:type="dxa"/>
          </w:tcPr>
          <w:p>
            <w:pPr>
              <w:spacing w:before="20" w:after="20"/>
              <w:jc w:val="center"/>
            </w:pPr>
            <w:r>
              <w:rPr>
                <w:color w:val="000000"/>
                <w:sz w:val="16"/>
              </w:rPr>
              <w:t>Number of Images</w:t>
            </w:r>
          </w:p>
        </w:tc>
        <w:tc>
          <w:tcPr>
            <w:tcW w:w="5400" w:type="dxa"/>
          </w:tcPr>
          <w:p>
            <w:pPr>
              <w:spacing w:before="20" w:after="20"/>
              <w:jc w:val="center"/>
            </w:pPr>
            <w:r>
              <w:rPr>
                <w:color w:val="000000"/>
                <w:sz w:val="16"/>
              </w:rPr>
              <w:t>5354</w:t>
            </w:r>
          </w:p>
        </w:tc>
      </w:tr>
      <w:tr>
        <w:tc>
          <w:tcPr>
            <w:tcW w:w="4200" w:type="dxa"/>
          </w:tcPr>
          <w:p>
            <w:pPr>
              <w:spacing w:before="20" w:after="20"/>
              <w:jc w:val="center"/>
            </w:pPr>
            <w:r>
              <w:rPr>
                <w:color w:val="000000"/>
                <w:sz w:val="16"/>
              </w:rPr>
              <w:t>Resolution</w:t>
            </w:r>
          </w:p>
        </w:tc>
        <w:tc>
          <w:tcPr>
            <w:tcW w:w="5400" w:type="dxa"/>
          </w:tcPr>
          <w:p>
            <w:pPr>
              <w:spacing w:before="20" w:after="20"/>
              <w:jc w:val="center"/>
            </w:pPr>
            <w:r>
              <w:rPr>
                <w:color w:val="000000"/>
                <w:sz w:val="16"/>
              </w:rPr>
              <w:t>1024 x 1024px</w:t>
            </w:r>
          </w:p>
        </w:tc>
      </w:tr>
      <w:tr>
        <w:tc>
          <w:tcPr>
            <w:tcW w:w="4200" w:type="dxa"/>
          </w:tcPr>
          <w:p>
            <w:pPr>
              <w:spacing w:before="20" w:after="20"/>
              <w:jc w:val="center"/>
            </w:pPr>
            <w:r>
              <w:rPr>
                <w:color w:val="000000"/>
                <w:sz w:val="16"/>
              </w:rPr>
              <w:t>Number of Training Images</w:t>
            </w:r>
          </w:p>
        </w:tc>
        <w:tc>
          <w:tcPr>
            <w:tcW w:w="5400" w:type="dxa"/>
          </w:tcPr>
          <w:p>
            <w:pPr>
              <w:spacing w:before="20" w:after="20"/>
              <w:jc w:val="center"/>
            </w:pPr>
            <w:r>
              <w:rPr>
                <w:color w:val="000000"/>
                <w:sz w:val="16"/>
              </w:rPr>
              <w:t>3629 (Normal Only)</w:t>
            </w:r>
          </w:p>
        </w:tc>
      </w:tr>
      <w:tr>
        <w:tc>
          <w:tcPr>
            <w:tcW w:w="4200" w:type="dxa"/>
          </w:tcPr>
          <w:p>
            <w:pPr>
              <w:spacing w:before="20" w:after="20"/>
              <w:jc w:val="center"/>
            </w:pPr>
            <w:r>
              <w:rPr>
                <w:color w:val="000000"/>
                <w:sz w:val="16"/>
              </w:rPr>
              <w:t>Number of Test Images</w:t>
            </w:r>
          </w:p>
        </w:tc>
        <w:tc>
          <w:tcPr>
            <w:tcW w:w="5400" w:type="dxa"/>
          </w:tcPr>
          <w:p>
            <w:pPr>
              <w:spacing w:before="20" w:after="20"/>
              <w:jc w:val="center"/>
            </w:pPr>
            <w:r>
              <w:rPr>
                <w:color w:val="000000"/>
                <w:sz w:val="16"/>
              </w:rPr>
              <w:t>1725 (Normal &amp; Anomalous)</w:t>
            </w:r>
          </w:p>
        </w:tc>
      </w:tr>
      <w:tr>
        <w:tc>
          <w:tcPr>
            <w:tcW w:w="4200" w:type="dxa"/>
          </w:tcPr>
          <w:p>
            <w:pPr>
              <w:spacing w:before="20" w:after="20"/>
              <w:jc w:val="center"/>
            </w:pPr>
            <w:r>
              <w:rPr>
                <w:color w:val="000000"/>
                <w:sz w:val="16"/>
              </w:rPr>
              <w:t>Defect Types</w:t>
            </w:r>
          </w:p>
        </w:tc>
        <w:tc>
          <w:tcPr>
            <w:tcW w:w="5400" w:type="dxa"/>
          </w:tcPr>
          <w:p>
            <w:pPr>
              <w:spacing w:before="20" w:after="20"/>
              <w:jc w:val="center"/>
            </w:pPr>
            <w:r>
              <w:rPr>
                <w:color w:val="000000"/>
                <w:sz w:val="16"/>
              </w:rPr>
              <w:t>Scratch, dent, contamination, structural damage and colour variation.</w:t>
            </w:r>
          </w:p>
        </w:tc>
      </w:tr>
      <w:tr>
        <w:tc>
          <w:tcPr>
            <w:tcW w:w="4200" w:type="dxa"/>
          </w:tcPr>
          <w:p>
            <w:pPr>
              <w:spacing w:before="20" w:after="20"/>
              <w:jc w:val="center"/>
            </w:pPr>
            <w:r>
              <w:rPr>
                <w:color w:val="000000"/>
                <w:sz w:val="16"/>
              </w:rPr>
              <w:t>Access</w:t>
            </w:r>
          </w:p>
        </w:tc>
        <w:tc>
          <w:tcPr>
            <w:tcW w:w="5400" w:type="dxa"/>
          </w:tcPr>
          <w:p>
            <w:pPr>
              <w:spacing w:before="20" w:after="20"/>
              <w:jc w:val="center"/>
            </w:pPr>
            <w:r>
              <w:rPr>
                <w:color w:val="000000"/>
                <w:sz w:val="16"/>
              </w:rPr>
              <w:t>FiftyOne Hub (Voxel51/mvtec-ad)</w:t>
            </w:r>
          </w:p>
        </w:tc>
      </w:tr>
    </w:tbl>
    <w:p>
      <w:pPr>
        <w:pStyle w:val="Subsection"/>
      </w:pPr>
      <w:r>
        <w:t>B. Pre-processing</w:t>
      </w:r>
    </w:p>
    <w:p>
      <w:r>
        <w:t>All images were pre-processed in a standard format. For both methods:</w:t>
      </w:r>
    </w:p>
    <w:p>
      <w:r>
        <w:rPr>
          <w:b/>
        </w:rPr>
        <w:t>Resize.</w:t>
      </w:r>
    </w:p>
    <w:p>
      <w:r>
        <w:t>Images were resized to a 224 x 224px image. This is due to the CLIP-ViT-B/32 and ViT-B/16 models expecting this input size.</w:t>
      </w:r>
    </w:p>
    <w:p>
      <w:r>
        <w:rPr>
          <w:b/>
        </w:rPr>
        <w:t>Normalise.</w:t>
      </w:r>
    </w:p>
    <w:p>
      <w:r>
        <w:t>Each image had their pixel values converted to between 0 and 1. All pixels were then normalised with the ImageNet mean and standard deviation. This resulted in mean values of [0.481, 0.458, 0.408] and standard deviation values of [0.269, 0.261, 0.276].</w:t>
      </w:r>
    </w:p>
    <w:p>
      <w:r>
        <w:rPr>
          <w:b/>
        </w:rPr>
        <w:t>No Data Augmentation.</w:t>
      </w:r>
    </w:p>
    <w:p>
      <w:r>
        <w:t>No data augmentation was performed during training or inferencing.</w:t>
      </w:r>
    </w:p>
    <w:p>
      <w:r>
        <w:t>The images were reduced from 1024 x 1024px to 224 x 224px. Whilst this may result in loss of fine detail in the textures, both methods are utilising the same resolution.</w:t>
      </w:r>
    </w:p>
    <w:p>
      <w:pPr>
        <w:pStyle w:val="Subsection"/>
      </w:pPr>
      <w:r>
        <w:t>C. Training</w:t>
      </w:r>
    </w:p>
    <w:p>
      <w:r>
        <w:t>For the ViT+LoRA model, each class was trained on their respective class. This meant that the test set (containing normal and anomalous images) were not available. This follows the standard methodology for anomaly detection as we will not have access to any anomalous samples during training.</w:t>
      </w:r>
    </w:p>
    <w:p>
      <w:pPr>
        <w:pStyle w:val="TableCaption"/>
      </w:pPr>
      <w:r>
        <w:t>TABLE II</w:t>
      </w:r>
    </w:p>
    <w:p>
      <w:pPr>
        <w:pStyle w:val="TableCaption"/>
      </w:pPr>
      <w:r>
        <w:t>TRAINING HYPERPARAMETERS</w:t>
      </w:r>
    </w:p>
    <w:tbl>
      <w:tblPr>
        <w:tblW w:w="5000" w:type="pct"/>
        <w:tblBorders>
          <w:top w:val="single" w:color="000000" w:sz="6"/>
          <w:left w:val="nil"/>
          <w:bottom w:val="single" w:color="000000" w:sz="6"/>
          <w:right w:val="nil"/>
          <w:insideH w:val="nil"/>
          <w:insideV w:val="nil"/>
        </w:tblBorders>
      </w:tblPr>
      <w:tblGrid>
        <w:gridCol w:w="4400"/>
        <w:gridCol w:w="5200"/>
      </w:tblGrid>
      <w:tr>
        <w:trPr>
          <w:tblHeader/>
        </w:trPr>
        <w:tc>
          <w:tcPr>
            <w:tcW w:w="4400" w:type="dxa"/>
            <w:shd w:val="clear" w:fill="eeeeee"/>
          </w:tcPr>
          <w:p>
            <w:pPr>
              <w:spacing w:before="20" w:after="20"/>
              <w:jc w:val="center"/>
            </w:pPr>
            <w:r>
              <w:rPr>
                <w:b/>
                <w:color w:val="000000"/>
                <w:sz w:val="16"/>
              </w:rPr>
              <w:t>Hyperparameter</w:t>
            </w:r>
          </w:p>
        </w:tc>
        <w:tc>
          <w:tcPr>
            <w:tcW w:w="5200" w:type="dxa"/>
            <w:shd w:val="clear" w:fill="eeeeee"/>
          </w:tcPr>
          <w:p>
            <w:pPr>
              <w:spacing w:before="20" w:after="20"/>
              <w:jc w:val="center"/>
            </w:pPr>
            <w:r>
              <w:rPr>
                <w:b/>
                <w:color w:val="000000"/>
                <w:sz w:val="16"/>
              </w:rPr>
              <w:t>Value</w:t>
            </w:r>
          </w:p>
        </w:tc>
      </w:tr>
      <w:tr>
        <w:tc>
          <w:tcPr>
            <w:tcW w:w="4400" w:type="dxa"/>
          </w:tcPr>
          <w:p>
            <w:pPr>
              <w:spacing w:before="20" w:after="20"/>
              <w:jc w:val="center"/>
            </w:pPr>
            <w:r>
              <w:rPr>
                <w:color w:val="000000"/>
                <w:sz w:val="16"/>
              </w:rPr>
              <w:t>Base Model</w:t>
            </w:r>
          </w:p>
        </w:tc>
        <w:tc>
          <w:tcPr>
            <w:tcW w:w="5200" w:type="dxa"/>
          </w:tcPr>
          <w:p>
            <w:pPr>
              <w:spacing w:before="20" w:after="20"/>
              <w:jc w:val="center"/>
            </w:pPr>
            <w:r>
              <w:rPr>
                <w:color w:val="000000"/>
                <w:sz w:val="16"/>
              </w:rPr>
              <w:t>google/vit-base-patch16-224</w:t>
            </w:r>
          </w:p>
        </w:tc>
      </w:tr>
      <w:tr>
        <w:tc>
          <w:tcPr>
            <w:tcW w:w="4400" w:type="dxa"/>
          </w:tcPr>
          <w:p>
            <w:pPr>
              <w:spacing w:before="20" w:after="20"/>
              <w:jc w:val="center"/>
            </w:pPr>
            <w:r>
              <w:rPr>
                <w:color w:val="000000"/>
                <w:sz w:val="16"/>
              </w:rPr>
              <w:t>LoRA r</w:t>
            </w:r>
          </w:p>
        </w:tc>
        <w:tc>
          <w:tcPr>
            <w:tcW w:w="5200" w:type="dxa"/>
          </w:tcPr>
          <w:p>
            <w:pPr>
              <w:spacing w:before="20" w:after="20"/>
              <w:jc w:val="center"/>
            </w:pPr>
            <w:r>
              <w:rPr>
                <w:color w:val="000000"/>
                <w:sz w:val="16"/>
              </w:rPr>
              <w:t>16</w:t>
            </w:r>
          </w:p>
        </w:tc>
      </w:tr>
      <w:tr>
        <w:tc>
          <w:tcPr>
            <w:tcW w:w="4400" w:type="dxa"/>
          </w:tcPr>
          <w:p>
            <w:pPr>
              <w:spacing w:before="20" w:after="20"/>
              <w:jc w:val="center"/>
            </w:pPr>
            <w:r>
              <w:rPr>
                <w:color w:val="000000"/>
                <w:sz w:val="16"/>
              </w:rPr>
              <w:t>LoRA Alpha</w:t>
            </w:r>
          </w:p>
        </w:tc>
        <w:tc>
          <w:tcPr>
            <w:tcW w:w="5200" w:type="dxa"/>
          </w:tcPr>
          <w:p>
            <w:pPr>
              <w:spacing w:before="20" w:after="20"/>
              <w:jc w:val="center"/>
            </w:pPr>
            <w:r>
              <w:rPr>
                <w:color w:val="000000"/>
                <w:sz w:val="16"/>
              </w:rPr>
              <w:t>32</w:t>
            </w:r>
          </w:p>
        </w:tc>
      </w:tr>
      <w:tr>
        <w:tc>
          <w:tcPr>
            <w:tcW w:w="4400" w:type="dxa"/>
          </w:tcPr>
          <w:p>
            <w:pPr>
              <w:spacing w:before="20" w:after="20"/>
              <w:jc w:val="center"/>
            </w:pPr>
            <w:r>
              <w:rPr>
                <w:color w:val="000000"/>
                <w:sz w:val="16"/>
              </w:rPr>
              <w:t>LoRA Target Modules</w:t>
            </w:r>
          </w:p>
        </w:tc>
        <w:tc>
          <w:tcPr>
            <w:tcW w:w="5200" w:type="dxa"/>
          </w:tcPr>
          <w:p>
            <w:pPr>
              <w:spacing w:before="20" w:after="20"/>
              <w:jc w:val="center"/>
            </w:pPr>
            <w:r>
              <w:rPr>
                <w:color w:val="000000"/>
                <w:sz w:val="16"/>
              </w:rPr>
              <w:t>query/value projection</w:t>
            </w:r>
          </w:p>
        </w:tc>
      </w:tr>
      <w:tr>
        <w:tc>
          <w:tcPr>
            <w:tcW w:w="4400" w:type="dxa"/>
          </w:tcPr>
          <w:p>
            <w:pPr>
              <w:spacing w:before="20" w:after="20"/>
              <w:jc w:val="center"/>
            </w:pPr>
            <w:r>
              <w:rPr>
                <w:color w:val="000000"/>
                <w:sz w:val="16"/>
              </w:rPr>
              <w:t>LoRA Dropout</w:t>
            </w:r>
          </w:p>
        </w:tc>
        <w:tc>
          <w:tcPr>
            <w:tcW w:w="5200" w:type="dxa"/>
          </w:tcPr>
          <w:p>
            <w:pPr>
              <w:spacing w:before="20" w:after="20"/>
              <w:jc w:val="center"/>
            </w:pPr>
            <w:r>
              <w:rPr>
                <w:color w:val="000000"/>
                <w:sz w:val="16"/>
              </w:rPr>
              <w:t>0.1</w:t>
            </w:r>
          </w:p>
        </w:tc>
      </w:tr>
      <w:tr>
        <w:tc>
          <w:tcPr>
            <w:tcW w:w="4400" w:type="dxa"/>
          </w:tcPr>
          <w:p>
            <w:pPr>
              <w:spacing w:before="20" w:after="20"/>
              <w:jc w:val="center"/>
            </w:pPr>
            <w:r>
              <w:rPr>
                <w:color w:val="000000"/>
                <w:sz w:val="16"/>
              </w:rPr>
              <w:t>Optimizer</w:t>
            </w:r>
          </w:p>
        </w:tc>
        <w:tc>
          <w:tcPr>
            <w:tcW w:w="5200" w:type="dxa"/>
          </w:tcPr>
          <w:p>
            <w:pPr>
              <w:spacing w:before="20" w:after="20"/>
              <w:jc w:val="center"/>
            </w:pPr>
            <w:r>
              <w:rPr>
                <w:color w:val="000000"/>
                <w:sz w:val="16"/>
              </w:rPr>
              <w:t>AdamW</w:t>
            </w:r>
          </w:p>
        </w:tc>
      </w:tr>
      <w:tr>
        <w:tc>
          <w:tcPr>
            <w:tcW w:w="4400" w:type="dxa"/>
          </w:tcPr>
          <w:p>
            <w:pPr>
              <w:spacing w:before="20" w:after="20"/>
              <w:jc w:val="center"/>
            </w:pPr>
            <w:r>
              <w:rPr>
                <w:color w:val="000000"/>
                <w:sz w:val="16"/>
              </w:rPr>
              <w:t>Learning Rate</w:t>
            </w:r>
          </w:p>
        </w:tc>
        <w:tc>
          <w:tcPr>
            <w:tcW w:w="5200" w:type="dxa"/>
          </w:tcPr>
          <w:p>
            <w:pPr>
              <w:spacing w:before="20" w:after="20"/>
              <w:jc w:val="center"/>
            </w:pPr>
            <w:r>
              <w:rPr>
                <w:color w:val="000000"/>
                <w:sz w:val="16"/>
              </w:rPr>
              <w:t>1e-4</w:t>
            </w:r>
          </w:p>
        </w:tc>
      </w:tr>
      <w:tr>
        <w:tc>
          <w:tcPr>
            <w:tcW w:w="4400" w:type="dxa"/>
          </w:tcPr>
          <w:p>
            <w:pPr>
              <w:spacing w:before="20" w:after="20"/>
              <w:jc w:val="center"/>
            </w:pPr>
            <w:r>
              <w:rPr>
                <w:color w:val="000000"/>
                <w:sz w:val="16"/>
              </w:rPr>
              <w:t>Weight Decay</w:t>
            </w:r>
          </w:p>
        </w:tc>
        <w:tc>
          <w:tcPr>
            <w:tcW w:w="5200" w:type="dxa"/>
          </w:tcPr>
          <w:p>
            <w:pPr>
              <w:spacing w:before="20" w:after="20"/>
              <w:jc w:val="center"/>
            </w:pPr>
            <w:r>
              <w:rPr>
                <w:color w:val="000000"/>
                <w:sz w:val="16"/>
              </w:rPr>
              <w:t>0.01</w:t>
            </w:r>
          </w:p>
        </w:tc>
      </w:tr>
      <w:tr>
        <w:tc>
          <w:tcPr>
            <w:tcW w:w="4400" w:type="dxa"/>
          </w:tcPr>
          <w:p>
            <w:pPr>
              <w:spacing w:before="20" w:after="20"/>
              <w:jc w:val="center"/>
            </w:pPr>
            <w:r>
              <w:rPr>
                <w:color w:val="000000"/>
                <w:sz w:val="16"/>
              </w:rPr>
              <w:t>Warmup Steps</w:t>
            </w:r>
          </w:p>
        </w:tc>
        <w:tc>
          <w:tcPr>
            <w:tcW w:w="5200" w:type="dxa"/>
          </w:tcPr>
          <w:p>
            <w:pPr>
              <w:spacing w:before="20" w:after="20"/>
              <w:jc w:val="center"/>
            </w:pPr>
            <w:r>
              <w:rPr>
                <w:color w:val="000000"/>
                <w:sz w:val="16"/>
              </w:rPr>
              <w:t>100 (Linear)</w:t>
            </w:r>
          </w:p>
        </w:tc>
      </w:tr>
      <w:tr>
        <w:tc>
          <w:tcPr>
            <w:tcW w:w="4400" w:type="dxa"/>
          </w:tcPr>
          <w:p>
            <w:pPr>
              <w:spacing w:before="20" w:after="20"/>
              <w:jc w:val="center"/>
            </w:pPr>
            <w:r>
              <w:rPr>
                <w:color w:val="000000"/>
                <w:sz w:val="16"/>
              </w:rPr>
              <w:t>LR Decay</w:t>
            </w:r>
          </w:p>
        </w:tc>
        <w:tc>
          <w:tcPr>
            <w:tcW w:w="5200" w:type="dxa"/>
          </w:tcPr>
          <w:p>
            <w:pPr>
              <w:spacing w:before="20" w:after="20"/>
              <w:jc w:val="center"/>
            </w:pPr>
            <w:r>
              <w:rPr>
                <w:color w:val="000000"/>
                <w:sz w:val="16"/>
              </w:rPr>
              <w:t>Cosine</w:t>
            </w:r>
          </w:p>
        </w:tc>
      </w:tr>
      <w:tr>
        <w:tc>
          <w:tcPr>
            <w:tcW w:w="4400" w:type="dxa"/>
          </w:tcPr>
          <w:p>
            <w:pPr>
              <w:spacing w:before="20" w:after="20"/>
              <w:jc w:val="center"/>
            </w:pPr>
            <w:r>
              <w:rPr>
                <w:color w:val="000000"/>
                <w:sz w:val="16"/>
              </w:rPr>
              <w:t>Batch Size</w:t>
            </w:r>
          </w:p>
        </w:tc>
        <w:tc>
          <w:tcPr>
            <w:tcW w:w="5200" w:type="dxa"/>
          </w:tcPr>
          <w:p>
            <w:pPr>
              <w:spacing w:before="20" w:after="20"/>
              <w:jc w:val="center"/>
            </w:pPr>
            <w:r>
              <w:rPr>
                <w:color w:val="000000"/>
                <w:sz w:val="16"/>
              </w:rPr>
              <w:t>32</w:t>
            </w:r>
          </w:p>
        </w:tc>
      </w:tr>
      <w:tr>
        <w:tc>
          <w:tcPr>
            <w:tcW w:w="4400" w:type="dxa"/>
          </w:tcPr>
          <w:p>
            <w:pPr>
              <w:spacing w:before="20" w:after="20"/>
              <w:jc w:val="center"/>
            </w:pPr>
            <w:r>
              <w:rPr>
                <w:color w:val="000000"/>
                <w:sz w:val="16"/>
              </w:rPr>
              <w:t>Epochs</w:t>
            </w:r>
          </w:p>
        </w:tc>
        <w:tc>
          <w:tcPr>
            <w:tcW w:w="5200" w:type="dxa"/>
          </w:tcPr>
          <w:p>
            <w:pPr>
              <w:spacing w:before="20" w:after="20"/>
              <w:jc w:val="center"/>
            </w:pPr>
            <w:r>
              <w:rPr>
                <w:color w:val="000000"/>
                <w:sz w:val="16"/>
              </w:rPr>
              <w:t>5 (Per class)</w:t>
            </w:r>
          </w:p>
        </w:tc>
      </w:tr>
      <w:tr>
        <w:tc>
          <w:tcPr>
            <w:tcW w:w="4400" w:type="dxa"/>
          </w:tcPr>
          <w:p>
            <w:pPr>
              <w:spacing w:before="20" w:after="20"/>
              <w:jc w:val="center"/>
            </w:pPr>
            <w:r>
              <w:rPr>
                <w:color w:val="000000"/>
                <w:sz w:val="16"/>
              </w:rPr>
              <w:t>Loss</w:t>
            </w:r>
          </w:p>
        </w:tc>
        <w:tc>
          <w:tcPr>
            <w:tcW w:w="5200" w:type="dxa"/>
          </w:tcPr>
          <w:p>
            <w:pPr>
              <w:spacing w:before="20" w:after="20"/>
              <w:jc w:val="center"/>
            </w:pPr>
            <w:r>
              <w:rPr>
                <w:color w:val="000000"/>
                <w:sz w:val="16"/>
              </w:rPr>
              <w:t>BCEWithLogitsLoss</w:t>
            </w:r>
          </w:p>
        </w:tc>
      </w:tr>
      <w:tr>
        <w:tc>
          <w:tcPr>
            <w:tcW w:w="4400" w:type="dxa"/>
          </w:tcPr>
          <w:p>
            <w:pPr>
              <w:spacing w:before="20" w:after="20"/>
              <w:jc w:val="center"/>
            </w:pPr>
            <w:r>
              <w:rPr>
                <w:color w:val="000000"/>
                <w:sz w:val="16"/>
              </w:rPr>
              <w:t>Trainable Parameters</w:t>
            </w:r>
          </w:p>
        </w:tc>
        <w:tc>
          <w:tcPr>
            <w:tcW w:w="5200" w:type="dxa"/>
          </w:tcPr>
          <w:p>
            <w:pPr>
              <w:spacing w:before="20" w:after="20"/>
              <w:jc w:val="center"/>
            </w:pPr>
            <w:r>
              <w:rPr>
                <w:color w:val="000000"/>
                <w:sz w:val="16"/>
              </w:rPr>
              <w:t>~2.4M (Per adapter)</w:t>
            </w:r>
          </w:p>
        </w:tc>
      </w:tr>
    </w:tbl>
    <w:p>
      <w:pPr>
        <w:pStyle w:val="Section"/>
      </w:pPr>
      <w:r>
        <w:t>V. RESULTS</w:t>
      </w:r>
    </w:p>
    <w:p>
      <w:pPr>
        <w:pStyle w:val="Subsection"/>
      </w:pPr>
      <w:r>
        <w:t>A. Overall</w:t>
      </w:r>
    </w:p>
    <w:p>
      <w:r>
        <w:t>Table III below shows the results of the image-level AUROC for both methods. Figure 1 below shows a grouped bar chart displaying the results.</w:t>
      </w:r>
    </w:p>
    <w:p>
      <w:pPr>
        <w:pStyle w:val="TableCaption"/>
      </w:pPr>
      <w:r>
        <w:t>TABLE III</w:t>
      </w:r>
    </w:p>
    <w:p>
      <w:pPr>
        <w:pStyle w:val="TableCaption"/>
      </w:pPr>
      <w:r>
        <w:t>IMAGE-LEVEL AUROC RESULTS</w:t>
      </w:r>
    </w:p>
    <w:tbl>
      <w:tblPr>
        <w:tblW w:w="5000" w:type="pct"/>
        <w:tblBorders>
          <w:top w:val="single" w:color="000000" w:sz="6"/>
          <w:left w:val="nil"/>
          <w:bottom w:val="single" w:color="000000" w:sz="6"/>
          <w:right w:val="nil"/>
          <w:insideH w:val="nil"/>
          <w:insideV w:val="nil"/>
        </w:tblBorders>
      </w:tblPr>
      <w:tblGrid>
        <w:gridCol w:w="1800"/>
        <w:gridCol w:w="1200"/>
        <w:gridCol w:w="1200"/>
        <w:gridCol w:w="1200"/>
        <w:gridCol w:w="1000"/>
      </w:tblGrid>
      <w:tr>
        <w:trPr>
          <w:tblHeader/>
        </w:trPr>
        <w:tc>
          <w:tcPr>
            <w:tcW w:w="1800" w:type="dxa"/>
            <w:shd w:val="clear" w:fill="eeeeee"/>
          </w:tcPr>
          <w:p>
            <w:pPr>
              <w:spacing w:before="20" w:after="20"/>
              <w:jc w:val="center"/>
            </w:pPr>
            <w:r>
              <w:rPr>
                <w:b/>
                <w:color w:val="000000"/>
                <w:sz w:val="16"/>
              </w:rPr>
              <w:t>Category</w:t>
            </w:r>
          </w:p>
        </w:tc>
        <w:tc>
          <w:tcPr>
            <w:tcW w:w="1200" w:type="dxa"/>
            <w:shd w:val="clear" w:fill="eeeeee"/>
          </w:tcPr>
          <w:p>
            <w:pPr>
              <w:spacing w:before="20" w:after="20"/>
              <w:jc w:val="center"/>
            </w:pPr>
            <w:r>
              <w:rPr>
                <w:b/>
                <w:color w:val="000000"/>
                <w:sz w:val="16"/>
              </w:rPr>
              <w:t>Type</w:t>
            </w:r>
          </w:p>
        </w:tc>
        <w:tc>
          <w:tcPr>
            <w:tcW w:w="1200" w:type="dxa"/>
            <w:shd w:val="clear" w:fill="eeeeee"/>
          </w:tcPr>
          <w:p>
            <w:pPr>
              <w:spacing w:before="20" w:after="20"/>
              <w:jc w:val="center"/>
            </w:pPr>
            <w:r>
              <w:rPr>
                <w:b/>
                <w:color w:val="000000"/>
                <w:sz w:val="16"/>
              </w:rPr>
              <w:t>CLIP ZS</w:t>
            </w:r>
          </w:p>
        </w:tc>
        <w:tc>
          <w:tcPr>
            <w:tcW w:w="1200" w:type="dxa"/>
            <w:shd w:val="clear" w:fill="eeeeee"/>
          </w:tcPr>
          <w:p>
            <w:pPr>
              <w:spacing w:before="20" w:after="20"/>
              <w:jc w:val="center"/>
            </w:pPr>
            <w:r>
              <w:rPr>
                <w:b/>
                <w:color w:val="000000"/>
                <w:sz w:val="16"/>
              </w:rPr>
              <w:t>ViT+LoRA</w:t>
            </w:r>
          </w:p>
        </w:tc>
        <w:tc>
          <w:tcPr>
            <w:tcW w:w="1000" w:type="dxa"/>
            <w:shd w:val="clear" w:fill="eeeeee"/>
          </w:tcPr>
          <w:p>
            <w:pPr>
              <w:spacing w:before="20" w:after="20"/>
              <w:jc w:val="center"/>
            </w:pPr>
            <w:r>
              <w:rPr>
                <w:b/>
                <w:color w:val="000000"/>
                <w:sz w:val="16"/>
              </w:rPr>
              <w:t>Delta</w:t>
            </w:r>
          </w:p>
        </w:tc>
      </w:tr>
      <w:tr>
        <w:tc>
          <w:tcPr>
            <w:tcW w:w="1800" w:type="dxa"/>
          </w:tcPr>
          <w:p>
            <w:pPr>
              <w:spacing w:before="20" w:after="20"/>
              <w:jc w:val="center"/>
            </w:pPr>
            <w:r>
              <w:rPr>
                <w:color w:val="000000"/>
                <w:sz w:val="16"/>
              </w:rPr>
              <w:t>bottle</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0.853</w:t>
            </w:r>
          </w:p>
        </w:tc>
        <w:tc>
          <w:tcPr>
            <w:tcW w:w="1200" w:type="dxa"/>
          </w:tcPr>
          <w:p>
            <w:pPr>
              <w:spacing w:before="20" w:after="20"/>
              <w:jc w:val="center"/>
            </w:pPr>
            <w:r>
              <w:rPr>
                <w:color w:val="000000"/>
                <w:sz w:val="16"/>
              </w:rPr>
              <w:t>0.963</w:t>
            </w:r>
          </w:p>
        </w:tc>
        <w:tc>
          <w:tcPr>
            <w:tcW w:w="1000" w:type="dxa"/>
          </w:tcPr>
          <w:p>
            <w:pPr>
              <w:spacing w:before="20" w:after="20"/>
              <w:jc w:val="center"/>
            </w:pPr>
            <w:r>
              <w:rPr>
                <w:color w:val="000000"/>
                <w:sz w:val="16"/>
              </w:rPr>
              <w:t>+0.110</w:t>
            </w:r>
          </w:p>
        </w:tc>
      </w:tr>
      <w:tr>
        <w:tc>
          <w:tcPr>
            <w:tcW w:w="1800" w:type="dxa"/>
          </w:tcPr>
          <w:p>
            <w:pPr>
              <w:spacing w:before="20" w:after="20"/>
              <w:jc w:val="center"/>
            </w:pPr>
            <w:r>
              <w:rPr>
                <w:color w:val="000000"/>
                <w:sz w:val="16"/>
              </w:rPr>
              <w:t>cable</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0.729</w:t>
            </w:r>
          </w:p>
        </w:tc>
        <w:tc>
          <w:tcPr>
            <w:tcW w:w="1200" w:type="dxa"/>
          </w:tcPr>
          <w:p>
            <w:pPr>
              <w:spacing w:before="20" w:after="20"/>
              <w:jc w:val="center"/>
            </w:pPr>
            <w:r>
              <w:rPr>
                <w:color w:val="000000"/>
                <w:sz w:val="16"/>
              </w:rPr>
              <w:t>0.928</w:t>
            </w:r>
          </w:p>
        </w:tc>
        <w:tc>
          <w:tcPr>
            <w:tcW w:w="1000" w:type="dxa"/>
          </w:tcPr>
          <w:p>
            <w:pPr>
              <w:spacing w:before="20" w:after="20"/>
              <w:jc w:val="center"/>
            </w:pPr>
            <w:r>
              <w:rPr>
                <w:color w:val="000000"/>
                <w:sz w:val="16"/>
              </w:rPr>
              <w:t>+0.199</w:t>
            </w:r>
          </w:p>
        </w:tc>
      </w:tr>
      <w:tr>
        <w:tc>
          <w:tcPr>
            <w:tcW w:w="1800" w:type="dxa"/>
          </w:tcPr>
          <w:p>
            <w:pPr>
              <w:spacing w:before="20" w:after="20"/>
              <w:jc w:val="center"/>
            </w:pPr>
            <w:r>
              <w:rPr>
                <w:color w:val="000000"/>
                <w:sz w:val="16"/>
              </w:rPr>
              <w:t>capsule</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0.558</w:t>
            </w:r>
          </w:p>
        </w:tc>
        <w:tc>
          <w:tcPr>
            <w:tcW w:w="1200" w:type="dxa"/>
          </w:tcPr>
          <w:p>
            <w:pPr>
              <w:spacing w:before="20" w:after="20"/>
              <w:jc w:val="center"/>
            </w:pPr>
            <w:r>
              <w:rPr>
                <w:color w:val="000000"/>
                <w:sz w:val="16"/>
              </w:rPr>
              <w:t>0.925</w:t>
            </w:r>
          </w:p>
        </w:tc>
        <w:tc>
          <w:tcPr>
            <w:tcW w:w="1000" w:type="dxa"/>
          </w:tcPr>
          <w:p>
            <w:pPr>
              <w:spacing w:before="20" w:after="20"/>
              <w:jc w:val="center"/>
            </w:pPr>
            <w:r>
              <w:rPr>
                <w:color w:val="000000"/>
                <w:sz w:val="16"/>
              </w:rPr>
              <w:t>+0.367</w:t>
            </w:r>
          </w:p>
        </w:tc>
      </w:tr>
      <w:tr>
        <w:tc>
          <w:tcPr>
            <w:tcW w:w="1800" w:type="dxa"/>
          </w:tcPr>
          <w:p>
            <w:pPr>
              <w:spacing w:before="20" w:after="20"/>
              <w:jc w:val="center"/>
            </w:pPr>
            <w:r>
              <w:rPr>
                <w:color w:val="000000"/>
                <w:sz w:val="16"/>
              </w:rPr>
              <w:t>hazelnut</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0.655</w:t>
            </w:r>
          </w:p>
        </w:tc>
        <w:tc>
          <w:tcPr>
            <w:tcW w:w="1200" w:type="dxa"/>
          </w:tcPr>
          <w:p>
            <w:pPr>
              <w:spacing w:before="20" w:after="20"/>
              <w:jc w:val="center"/>
            </w:pPr>
            <w:r>
              <w:rPr>
                <w:color w:val="000000"/>
                <w:sz w:val="16"/>
              </w:rPr>
              <w:t>0.939</w:t>
            </w:r>
          </w:p>
        </w:tc>
        <w:tc>
          <w:tcPr>
            <w:tcW w:w="1000" w:type="dxa"/>
          </w:tcPr>
          <w:p>
            <w:pPr>
              <w:spacing w:before="20" w:after="20"/>
              <w:jc w:val="center"/>
            </w:pPr>
            <w:r>
              <w:rPr>
                <w:color w:val="000000"/>
                <w:sz w:val="16"/>
              </w:rPr>
              <w:t>+0.284</w:t>
            </w:r>
          </w:p>
        </w:tc>
      </w:tr>
      <w:tr>
        <w:tc>
          <w:tcPr>
            <w:tcW w:w="1800" w:type="dxa"/>
          </w:tcPr>
          <w:p>
            <w:pPr>
              <w:spacing w:before="20" w:after="20"/>
              <w:jc w:val="center"/>
            </w:pPr>
            <w:r>
              <w:rPr>
                <w:color w:val="000000"/>
                <w:sz w:val="16"/>
              </w:rPr>
              <w:t>metal nut</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0.612</w:t>
            </w:r>
          </w:p>
        </w:tc>
        <w:tc>
          <w:tcPr>
            <w:tcW w:w="1200" w:type="dxa"/>
          </w:tcPr>
          <w:p>
            <w:pPr>
              <w:spacing w:before="20" w:after="20"/>
              <w:jc w:val="center"/>
            </w:pPr>
            <w:r>
              <w:rPr>
                <w:color w:val="000000"/>
                <w:sz w:val="16"/>
              </w:rPr>
              <w:t>0.951</w:t>
            </w:r>
          </w:p>
        </w:tc>
        <w:tc>
          <w:tcPr>
            <w:tcW w:w="1000" w:type="dxa"/>
          </w:tcPr>
          <w:p>
            <w:pPr>
              <w:spacing w:before="20" w:after="20"/>
              <w:jc w:val="center"/>
            </w:pPr>
            <w:r>
              <w:rPr>
                <w:color w:val="000000"/>
                <w:sz w:val="16"/>
              </w:rPr>
              <w:t>+0.339</w:t>
            </w:r>
          </w:p>
        </w:tc>
      </w:tr>
      <w:tr>
        <w:tc>
          <w:tcPr>
            <w:tcW w:w="1800" w:type="dxa"/>
          </w:tcPr>
          <w:p>
            <w:pPr>
              <w:spacing w:before="20" w:after="20"/>
              <w:jc w:val="center"/>
            </w:pPr>
            <w:r>
              <w:rPr>
                <w:color w:val="000000"/>
                <w:sz w:val="16"/>
              </w:rPr>
              <w:t>pill</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0.542</w:t>
            </w:r>
          </w:p>
        </w:tc>
        <w:tc>
          <w:tcPr>
            <w:tcW w:w="1200" w:type="dxa"/>
          </w:tcPr>
          <w:p>
            <w:pPr>
              <w:spacing w:before="20" w:after="20"/>
              <w:jc w:val="center"/>
            </w:pPr>
            <w:r>
              <w:rPr>
                <w:color w:val="000000"/>
                <w:sz w:val="16"/>
              </w:rPr>
              <w:t>0.982</w:t>
            </w:r>
          </w:p>
        </w:tc>
        <w:tc>
          <w:tcPr>
            <w:tcW w:w="1000" w:type="dxa"/>
          </w:tcPr>
          <w:p>
            <w:pPr>
              <w:spacing w:before="20" w:after="20"/>
              <w:jc w:val="center"/>
            </w:pPr>
            <w:r>
              <w:rPr>
                <w:color w:val="000000"/>
                <w:sz w:val="16"/>
              </w:rPr>
              <w:t>+0.440</w:t>
            </w:r>
          </w:p>
        </w:tc>
      </w:tr>
      <w:tr>
        <w:tc>
          <w:tcPr>
            <w:tcW w:w="1800" w:type="dxa"/>
          </w:tcPr>
          <w:p>
            <w:pPr>
              <w:spacing w:before="20" w:after="20"/>
              <w:jc w:val="center"/>
            </w:pPr>
            <w:r>
              <w:rPr>
                <w:color w:val="000000"/>
                <w:sz w:val="16"/>
              </w:rPr>
              <w:t>screw</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0.506</w:t>
            </w:r>
          </w:p>
        </w:tc>
        <w:tc>
          <w:tcPr>
            <w:tcW w:w="1200" w:type="dxa"/>
          </w:tcPr>
          <w:p>
            <w:pPr>
              <w:spacing w:before="20" w:after="20"/>
              <w:jc w:val="center"/>
            </w:pPr>
            <w:r>
              <w:rPr>
                <w:color w:val="000000"/>
                <w:sz w:val="16"/>
              </w:rPr>
              <w:t>0.886</w:t>
            </w:r>
          </w:p>
        </w:tc>
        <w:tc>
          <w:tcPr>
            <w:tcW w:w="1000" w:type="dxa"/>
          </w:tcPr>
          <w:p>
            <w:pPr>
              <w:spacing w:before="20" w:after="20"/>
              <w:jc w:val="center"/>
            </w:pPr>
            <w:r>
              <w:rPr>
                <w:color w:val="000000"/>
                <w:sz w:val="16"/>
              </w:rPr>
              <w:t>+0.380</w:t>
            </w:r>
          </w:p>
        </w:tc>
      </w:tr>
      <w:tr>
        <w:tc>
          <w:tcPr>
            <w:tcW w:w="1800" w:type="dxa"/>
          </w:tcPr>
          <w:p>
            <w:pPr>
              <w:spacing w:before="20" w:after="20"/>
              <w:jc w:val="center"/>
            </w:pPr>
            <w:r>
              <w:rPr>
                <w:color w:val="000000"/>
                <w:sz w:val="16"/>
              </w:rPr>
              <w:t>toothbrush</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0.553</w:t>
            </w:r>
          </w:p>
        </w:tc>
        <w:tc>
          <w:tcPr>
            <w:tcW w:w="1200" w:type="dxa"/>
          </w:tcPr>
          <w:p>
            <w:pPr>
              <w:spacing w:before="20" w:after="20"/>
              <w:jc w:val="center"/>
            </w:pPr>
            <w:r>
              <w:rPr>
                <w:color w:val="000000"/>
                <w:sz w:val="16"/>
              </w:rPr>
              <w:t>0.873</w:t>
            </w:r>
          </w:p>
        </w:tc>
        <w:tc>
          <w:tcPr>
            <w:tcW w:w="1000" w:type="dxa"/>
          </w:tcPr>
          <w:p>
            <w:pPr>
              <w:spacing w:before="20" w:after="20"/>
              <w:jc w:val="center"/>
            </w:pPr>
            <w:r>
              <w:rPr>
                <w:color w:val="000000"/>
                <w:sz w:val="16"/>
              </w:rPr>
              <w:t>+0.320</w:t>
            </w:r>
          </w:p>
        </w:tc>
      </w:tr>
      <w:tr>
        <w:tc>
          <w:tcPr>
            <w:tcW w:w="1800" w:type="dxa"/>
          </w:tcPr>
          <w:p>
            <w:pPr>
              <w:spacing w:before="20" w:after="20"/>
              <w:jc w:val="center"/>
            </w:pPr>
            <w:r>
              <w:rPr>
                <w:color w:val="000000"/>
                <w:sz w:val="16"/>
              </w:rPr>
              <w:t>transistor</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0.698</w:t>
            </w:r>
          </w:p>
        </w:tc>
        <w:tc>
          <w:tcPr>
            <w:tcW w:w="1200" w:type="dxa"/>
          </w:tcPr>
          <w:p>
            <w:pPr>
              <w:spacing w:before="20" w:after="20"/>
              <w:jc w:val="center"/>
            </w:pPr>
            <w:r>
              <w:rPr>
                <w:color w:val="000000"/>
                <w:sz w:val="16"/>
              </w:rPr>
              <w:t>0.937</w:t>
            </w:r>
          </w:p>
        </w:tc>
        <w:tc>
          <w:tcPr>
            <w:tcW w:w="1000" w:type="dxa"/>
          </w:tcPr>
          <w:p>
            <w:pPr>
              <w:spacing w:before="20" w:after="20"/>
              <w:jc w:val="center"/>
            </w:pPr>
            <w:r>
              <w:rPr>
                <w:color w:val="000000"/>
                <w:sz w:val="16"/>
              </w:rPr>
              <w:t>+0.239</w:t>
            </w:r>
          </w:p>
        </w:tc>
      </w:tr>
      <w:tr>
        <w:tc>
          <w:tcPr>
            <w:tcW w:w="1800" w:type="dxa"/>
          </w:tcPr>
          <w:p>
            <w:pPr>
              <w:spacing w:before="20" w:after="20"/>
              <w:jc w:val="center"/>
            </w:pPr>
            <w:r>
              <w:rPr>
                <w:color w:val="000000"/>
                <w:sz w:val="16"/>
              </w:rPr>
              <w:t>zipper</w:t>
            </w:r>
          </w:p>
        </w:tc>
        <w:tc>
          <w:tcPr>
            <w:tcW w:w="1200" w:type="dxa"/>
          </w:tcPr>
          <w:p>
            <w:pPr>
              <w:spacing w:before="20" w:after="20"/>
              <w:jc w:val="center"/>
            </w:pPr>
            <w:r>
              <w:rPr>
                <w:color w:val="000000"/>
                <w:sz w:val="16"/>
              </w:rPr>
              <w:t>object</w:t>
            </w:r>
          </w:p>
        </w:tc>
        <w:tc>
          <w:tcPr>
            <w:tcW w:w="1200" w:type="dxa"/>
          </w:tcPr>
          <w:p>
            <w:pPr>
              <w:spacing w:before="20" w:after="20"/>
              <w:jc w:val="center"/>
            </w:pPr>
            <w:r>
              <w:rPr>
                <w:color w:val="000000"/>
                <w:sz w:val="16"/>
              </w:rPr>
              <w:t>0.584</w:t>
            </w:r>
          </w:p>
        </w:tc>
        <w:tc>
          <w:tcPr>
            <w:tcW w:w="1200" w:type="dxa"/>
          </w:tcPr>
          <w:p>
            <w:pPr>
              <w:spacing w:before="20" w:after="20"/>
              <w:jc w:val="center"/>
            </w:pPr>
            <w:r>
              <w:rPr>
                <w:color w:val="000000"/>
                <w:sz w:val="16"/>
              </w:rPr>
              <w:t>0.918</w:t>
            </w:r>
          </w:p>
        </w:tc>
        <w:tc>
          <w:tcPr>
            <w:tcW w:w="1000" w:type="dxa"/>
          </w:tcPr>
          <w:p>
            <w:pPr>
              <w:spacing w:before="20" w:after="20"/>
              <w:jc w:val="center"/>
            </w:pPr>
            <w:r>
              <w:rPr>
                <w:color w:val="000000"/>
                <w:sz w:val="16"/>
              </w:rPr>
              <w:t>+0.334</w:t>
            </w:r>
          </w:p>
        </w:tc>
      </w:tr>
      <w:tr>
        <w:tc>
          <w:tcPr>
            <w:tcW w:w="1800" w:type="dxa"/>
          </w:tcPr>
          <w:p>
            <w:pPr>
              <w:spacing w:before="20" w:after="20"/>
              <w:jc w:val="center"/>
            </w:pPr>
            <w:r>
              <w:rPr>
                <w:color w:val="000000"/>
                <w:sz w:val="16"/>
              </w:rPr>
              <w:t>carpet</w:t>
            </w:r>
          </w:p>
        </w:tc>
        <w:tc>
          <w:tcPr>
            <w:tcW w:w="1200" w:type="dxa"/>
          </w:tcPr>
          <w:p>
            <w:pPr>
              <w:spacing w:before="20" w:after="20"/>
              <w:jc w:val="center"/>
            </w:pPr>
            <w:r>
              <w:rPr>
                <w:color w:val="000000"/>
                <w:sz w:val="16"/>
              </w:rPr>
              <w:t>texture</w:t>
            </w:r>
          </w:p>
        </w:tc>
        <w:tc>
          <w:tcPr>
            <w:tcW w:w="1200" w:type="dxa"/>
          </w:tcPr>
          <w:p>
            <w:pPr>
              <w:spacing w:before="20" w:after="20"/>
              <w:jc w:val="center"/>
            </w:pPr>
            <w:r>
              <w:rPr>
                <w:color w:val="000000"/>
                <w:sz w:val="16"/>
              </w:rPr>
              <w:t>0.933</w:t>
            </w:r>
          </w:p>
        </w:tc>
        <w:tc>
          <w:tcPr>
            <w:tcW w:w="1200" w:type="dxa"/>
          </w:tcPr>
          <w:p>
            <w:pPr>
              <w:spacing w:before="20" w:after="20"/>
              <w:jc w:val="center"/>
            </w:pPr>
            <w:r>
              <w:rPr>
                <w:color w:val="000000"/>
                <w:sz w:val="16"/>
              </w:rPr>
              <w:t>0.867</w:t>
            </w:r>
          </w:p>
        </w:tc>
        <w:tc>
          <w:tcPr>
            <w:tcW w:w="1000" w:type="dxa"/>
          </w:tcPr>
          <w:p>
            <w:pPr>
              <w:spacing w:before="20" w:after="20"/>
              <w:jc w:val="center"/>
            </w:pPr>
            <w:r>
              <w:rPr>
                <w:color w:val="000000"/>
                <w:sz w:val="16"/>
              </w:rPr>
              <w:t>-0.066</w:t>
            </w:r>
          </w:p>
        </w:tc>
      </w:tr>
      <w:tr>
        <w:tc>
          <w:tcPr>
            <w:tcW w:w="1800" w:type="dxa"/>
          </w:tcPr>
          <w:p>
            <w:pPr>
              <w:spacing w:before="20" w:after="20"/>
              <w:jc w:val="center"/>
            </w:pPr>
            <w:r>
              <w:rPr>
                <w:color w:val="000000"/>
                <w:sz w:val="16"/>
              </w:rPr>
              <w:t>grid</w:t>
            </w:r>
          </w:p>
        </w:tc>
        <w:tc>
          <w:tcPr>
            <w:tcW w:w="1200" w:type="dxa"/>
          </w:tcPr>
          <w:p>
            <w:pPr>
              <w:spacing w:before="20" w:after="20"/>
              <w:jc w:val="center"/>
            </w:pPr>
            <w:r>
              <w:rPr>
                <w:color w:val="000000"/>
                <w:sz w:val="16"/>
              </w:rPr>
              <w:t>texture</w:t>
            </w:r>
          </w:p>
        </w:tc>
        <w:tc>
          <w:tcPr>
            <w:tcW w:w="1200" w:type="dxa"/>
          </w:tcPr>
          <w:p>
            <w:pPr>
              <w:spacing w:before="20" w:after="20"/>
              <w:jc w:val="center"/>
            </w:pPr>
            <w:r>
              <w:rPr>
                <w:color w:val="000000"/>
                <w:sz w:val="16"/>
              </w:rPr>
              <w:t>0.703</w:t>
            </w:r>
          </w:p>
        </w:tc>
        <w:tc>
          <w:tcPr>
            <w:tcW w:w="1200" w:type="dxa"/>
          </w:tcPr>
          <w:p>
            <w:pPr>
              <w:spacing w:before="20" w:after="20"/>
              <w:jc w:val="center"/>
            </w:pPr>
            <w:r>
              <w:rPr>
                <w:color w:val="000000"/>
                <w:sz w:val="16"/>
              </w:rPr>
              <w:t>0.972</w:t>
            </w:r>
          </w:p>
        </w:tc>
        <w:tc>
          <w:tcPr>
            <w:tcW w:w="1000" w:type="dxa"/>
          </w:tcPr>
          <w:p>
            <w:pPr>
              <w:spacing w:before="20" w:after="20"/>
              <w:jc w:val="center"/>
            </w:pPr>
            <w:r>
              <w:rPr>
                <w:color w:val="000000"/>
                <w:sz w:val="16"/>
              </w:rPr>
              <w:t>+0.269</w:t>
            </w:r>
          </w:p>
        </w:tc>
      </w:tr>
      <w:tr>
        <w:tc>
          <w:tcPr>
            <w:tcW w:w="1800" w:type="dxa"/>
          </w:tcPr>
          <w:p>
            <w:pPr>
              <w:spacing w:before="20" w:after="20"/>
              <w:jc w:val="center"/>
            </w:pPr>
            <w:r>
              <w:rPr>
                <w:color w:val="000000"/>
                <w:sz w:val="16"/>
              </w:rPr>
              <w:t>leather</w:t>
            </w:r>
          </w:p>
        </w:tc>
        <w:tc>
          <w:tcPr>
            <w:tcW w:w="1200" w:type="dxa"/>
          </w:tcPr>
          <w:p>
            <w:pPr>
              <w:spacing w:before="20" w:after="20"/>
              <w:jc w:val="center"/>
            </w:pPr>
            <w:r>
              <w:rPr>
                <w:color w:val="000000"/>
                <w:sz w:val="16"/>
              </w:rPr>
              <w:t>texture</w:t>
            </w:r>
          </w:p>
        </w:tc>
        <w:tc>
          <w:tcPr>
            <w:tcW w:w="1200" w:type="dxa"/>
          </w:tcPr>
          <w:p>
            <w:pPr>
              <w:spacing w:before="20" w:after="20"/>
              <w:jc w:val="center"/>
            </w:pPr>
            <w:r>
              <w:rPr>
                <w:color w:val="000000"/>
                <w:sz w:val="16"/>
              </w:rPr>
              <w:t>0.617</w:t>
            </w:r>
          </w:p>
        </w:tc>
        <w:tc>
          <w:tcPr>
            <w:tcW w:w="1200" w:type="dxa"/>
          </w:tcPr>
          <w:p>
            <w:pPr>
              <w:spacing w:before="20" w:after="20"/>
              <w:jc w:val="center"/>
            </w:pPr>
            <w:r>
              <w:rPr>
                <w:color w:val="000000"/>
                <w:sz w:val="16"/>
              </w:rPr>
              <w:t>0.960</w:t>
            </w:r>
          </w:p>
        </w:tc>
        <w:tc>
          <w:tcPr>
            <w:tcW w:w="1000" w:type="dxa"/>
          </w:tcPr>
          <w:p>
            <w:pPr>
              <w:spacing w:before="20" w:after="20"/>
              <w:jc w:val="center"/>
            </w:pPr>
            <w:r>
              <w:rPr>
                <w:color w:val="000000"/>
                <w:sz w:val="16"/>
              </w:rPr>
              <w:t>+0.343</w:t>
            </w:r>
          </w:p>
        </w:tc>
      </w:tr>
      <w:tr>
        <w:tc>
          <w:tcPr>
            <w:tcW w:w="1800" w:type="dxa"/>
          </w:tcPr>
          <w:p>
            <w:pPr>
              <w:spacing w:before="20" w:after="20"/>
              <w:jc w:val="center"/>
            </w:pPr>
            <w:r>
              <w:rPr>
                <w:color w:val="000000"/>
                <w:sz w:val="16"/>
              </w:rPr>
              <w:t>tile</w:t>
            </w:r>
          </w:p>
        </w:tc>
        <w:tc>
          <w:tcPr>
            <w:tcW w:w="1200" w:type="dxa"/>
          </w:tcPr>
          <w:p>
            <w:pPr>
              <w:spacing w:before="20" w:after="20"/>
              <w:jc w:val="center"/>
            </w:pPr>
            <w:r>
              <w:rPr>
                <w:color w:val="000000"/>
                <w:sz w:val="16"/>
              </w:rPr>
              <w:t>texture</w:t>
            </w:r>
          </w:p>
        </w:tc>
        <w:tc>
          <w:tcPr>
            <w:tcW w:w="1200" w:type="dxa"/>
          </w:tcPr>
          <w:p>
            <w:pPr>
              <w:spacing w:before="20" w:after="20"/>
              <w:jc w:val="center"/>
            </w:pPr>
            <w:r>
              <w:rPr>
                <w:color w:val="000000"/>
                <w:sz w:val="16"/>
              </w:rPr>
              <w:t>0.778</w:t>
            </w:r>
          </w:p>
        </w:tc>
        <w:tc>
          <w:tcPr>
            <w:tcW w:w="1200" w:type="dxa"/>
          </w:tcPr>
          <w:p>
            <w:pPr>
              <w:spacing w:before="20" w:after="20"/>
              <w:jc w:val="center"/>
            </w:pPr>
            <w:r>
              <w:rPr>
                <w:color w:val="000000"/>
                <w:sz w:val="16"/>
              </w:rPr>
              <w:t>0.970</w:t>
            </w:r>
          </w:p>
        </w:tc>
        <w:tc>
          <w:tcPr>
            <w:tcW w:w="1000" w:type="dxa"/>
          </w:tcPr>
          <w:p>
            <w:pPr>
              <w:spacing w:before="20" w:after="20"/>
              <w:jc w:val="center"/>
            </w:pPr>
            <w:r>
              <w:rPr>
                <w:color w:val="000000"/>
                <w:sz w:val="16"/>
              </w:rPr>
              <w:t>+0.192</w:t>
            </w:r>
          </w:p>
        </w:tc>
      </w:tr>
      <w:tr>
        <w:tc>
          <w:tcPr>
            <w:tcW w:w="1800" w:type="dxa"/>
          </w:tcPr>
          <w:p>
            <w:pPr>
              <w:spacing w:before="20" w:after="20"/>
              <w:jc w:val="center"/>
            </w:pPr>
            <w:r>
              <w:rPr>
                <w:color w:val="000000"/>
                <w:sz w:val="16"/>
              </w:rPr>
              <w:t>wood</w:t>
            </w:r>
          </w:p>
        </w:tc>
        <w:tc>
          <w:tcPr>
            <w:tcW w:w="1200" w:type="dxa"/>
          </w:tcPr>
          <w:p>
            <w:pPr>
              <w:spacing w:before="20" w:after="20"/>
              <w:jc w:val="center"/>
            </w:pPr>
            <w:r>
              <w:rPr>
                <w:color w:val="000000"/>
                <w:sz w:val="16"/>
              </w:rPr>
              <w:t>texture</w:t>
            </w:r>
          </w:p>
        </w:tc>
        <w:tc>
          <w:tcPr>
            <w:tcW w:w="1200" w:type="dxa"/>
          </w:tcPr>
          <w:p>
            <w:pPr>
              <w:spacing w:before="20" w:after="20"/>
              <w:jc w:val="center"/>
            </w:pPr>
            <w:r>
              <w:rPr>
                <w:color w:val="000000"/>
                <w:sz w:val="16"/>
              </w:rPr>
              <w:t>0.936</w:t>
            </w:r>
          </w:p>
        </w:tc>
        <w:tc>
          <w:tcPr>
            <w:tcW w:w="1200" w:type="dxa"/>
          </w:tcPr>
          <w:p>
            <w:pPr>
              <w:spacing w:before="20" w:after="20"/>
              <w:jc w:val="center"/>
            </w:pPr>
            <w:r>
              <w:rPr>
                <w:color w:val="000000"/>
                <w:sz w:val="16"/>
              </w:rPr>
              <w:t>0.984</w:t>
            </w:r>
          </w:p>
        </w:tc>
        <w:tc>
          <w:tcPr>
            <w:tcW w:w="1000" w:type="dxa"/>
          </w:tcPr>
          <w:p>
            <w:pPr>
              <w:spacing w:before="20" w:after="20"/>
              <w:jc w:val="center"/>
            </w:pPr>
            <w:r>
              <w:rPr>
                <w:color w:val="000000"/>
                <w:sz w:val="16"/>
              </w:rPr>
              <w:t>+0.048</w:t>
            </w:r>
          </w:p>
        </w:tc>
      </w:tr>
      <w:tr>
        <w:tc>
          <w:tcPr>
            <w:tcW w:w="1800" w:type="dxa"/>
          </w:tcPr>
          <w:p>
            <w:pPr>
              <w:spacing w:before="20" w:after="20"/>
              <w:jc w:val="center"/>
            </w:pPr>
            <w:r>
              <w:rPr>
                <w:b/>
                <w:color w:val="000000"/>
                <w:sz w:val="16"/>
              </w:rPr>
              <w:t>Mean (Objects)</w:t>
            </w:r>
          </w:p>
        </w:tc>
        <w:tc>
          <w:tcPr>
            <w:tcW w:w="1200" w:type="dxa"/>
          </w:tcPr>
          <w:p>
            <w:pPr>
              <w:spacing w:before="20" w:after="20"/>
              <w:jc w:val="center"/>
            </w:pPr>
            <w:r>
              <w:rPr>
                <w:b/>
                <w:color w:val="000000"/>
                <w:sz w:val="16"/>
              </w:rPr>
              <w:t>-</w:t>
            </w:r>
          </w:p>
        </w:tc>
        <w:tc>
          <w:tcPr>
            <w:tcW w:w="1200" w:type="dxa"/>
          </w:tcPr>
          <w:p>
            <w:pPr>
              <w:spacing w:before="20" w:after="20"/>
              <w:jc w:val="center"/>
            </w:pPr>
            <w:r>
              <w:rPr>
                <w:b/>
                <w:color w:val="000000"/>
                <w:sz w:val="16"/>
              </w:rPr>
              <w:t>0.630</w:t>
            </w:r>
          </w:p>
        </w:tc>
        <w:tc>
          <w:tcPr>
            <w:tcW w:w="1200" w:type="dxa"/>
          </w:tcPr>
          <w:p>
            <w:pPr>
              <w:spacing w:before="20" w:after="20"/>
              <w:jc w:val="center"/>
            </w:pPr>
            <w:r>
              <w:rPr>
                <w:b/>
                <w:color w:val="000000"/>
                <w:sz w:val="16"/>
              </w:rPr>
              <w:t>0.930</w:t>
            </w:r>
          </w:p>
        </w:tc>
        <w:tc>
          <w:tcPr>
            <w:tcW w:w="1000" w:type="dxa"/>
          </w:tcPr>
          <w:p>
            <w:pPr>
              <w:spacing w:before="20" w:after="20"/>
              <w:jc w:val="center"/>
            </w:pPr>
            <w:r>
              <w:rPr>
                <w:b/>
                <w:color w:val="000000"/>
                <w:sz w:val="16"/>
              </w:rPr>
              <w:t>+0.300</w:t>
            </w:r>
          </w:p>
        </w:tc>
      </w:tr>
      <w:tr>
        <w:tc>
          <w:tcPr>
            <w:tcW w:w="1800" w:type="dxa"/>
          </w:tcPr>
          <w:p>
            <w:pPr>
              <w:spacing w:before="20" w:after="20"/>
              <w:jc w:val="center"/>
            </w:pPr>
            <w:r>
              <w:rPr>
                <w:b/>
                <w:color w:val="000000"/>
                <w:sz w:val="16"/>
              </w:rPr>
              <w:t>Mean (Textures)</w:t>
            </w:r>
          </w:p>
        </w:tc>
        <w:tc>
          <w:tcPr>
            <w:tcW w:w="1200" w:type="dxa"/>
          </w:tcPr>
          <w:p>
            <w:pPr>
              <w:spacing w:before="20" w:after="20"/>
              <w:jc w:val="center"/>
            </w:pPr>
            <w:r>
              <w:rPr>
                <w:b/>
                <w:color w:val="000000"/>
                <w:sz w:val="16"/>
              </w:rPr>
              <w:t>-</w:t>
            </w:r>
          </w:p>
        </w:tc>
        <w:tc>
          <w:tcPr>
            <w:tcW w:w="1200" w:type="dxa"/>
          </w:tcPr>
          <w:p>
            <w:pPr>
              <w:spacing w:before="20" w:after="20"/>
              <w:jc w:val="center"/>
            </w:pPr>
            <w:r>
              <w:rPr>
                <w:b/>
                <w:color w:val="000000"/>
                <w:sz w:val="16"/>
              </w:rPr>
              <w:t>0.793</w:t>
            </w:r>
          </w:p>
        </w:tc>
        <w:tc>
          <w:tcPr>
            <w:tcW w:w="1200" w:type="dxa"/>
          </w:tcPr>
          <w:p>
            <w:pPr>
              <w:spacing w:before="20" w:after="20"/>
              <w:jc w:val="center"/>
            </w:pPr>
            <w:r>
              <w:rPr>
                <w:b/>
                <w:color w:val="000000"/>
                <w:sz w:val="16"/>
              </w:rPr>
              <w:t>0.951</w:t>
            </w:r>
          </w:p>
        </w:tc>
        <w:tc>
          <w:tcPr>
            <w:tcW w:w="1000" w:type="dxa"/>
          </w:tcPr>
          <w:p>
            <w:pPr>
              <w:spacing w:before="20" w:after="20"/>
              <w:jc w:val="center"/>
            </w:pPr>
            <w:r>
              <w:rPr>
                <w:b/>
                <w:color w:val="000000"/>
                <w:sz w:val="16"/>
              </w:rPr>
              <w:t>+0.157</w:t>
            </w:r>
          </w:p>
        </w:tc>
      </w:tr>
      <w:tr>
        <w:tc>
          <w:tcPr>
            <w:tcW w:w="1800" w:type="dxa"/>
          </w:tcPr>
          <w:p>
            <w:pPr>
              <w:spacing w:before="20" w:after="20"/>
              <w:jc w:val="center"/>
            </w:pPr>
            <w:r>
              <w:rPr>
                <w:b/>
                <w:color w:val="000000"/>
                <w:sz w:val="16"/>
              </w:rPr>
              <w:t>Mean (All)</w:t>
            </w:r>
          </w:p>
        </w:tc>
        <w:tc>
          <w:tcPr>
            <w:tcW w:w="1200" w:type="dxa"/>
          </w:tcPr>
          <w:p>
            <w:pPr>
              <w:spacing w:before="20" w:after="20"/>
              <w:jc w:val="center"/>
            </w:pPr>
            <w:r>
              <w:rPr>
                <w:b/>
                <w:color w:val="000000"/>
                <w:sz w:val="16"/>
              </w:rPr>
              <w:t>-</w:t>
            </w:r>
          </w:p>
        </w:tc>
        <w:tc>
          <w:tcPr>
            <w:tcW w:w="1200" w:type="dxa"/>
          </w:tcPr>
          <w:p>
            <w:pPr>
              <w:spacing w:before="20" w:after="20"/>
              <w:jc w:val="center"/>
            </w:pPr>
            <w:r>
              <w:rPr>
                <w:b/>
                <w:color w:val="000000"/>
                <w:sz w:val="16"/>
              </w:rPr>
              <w:t>0.736</w:t>
            </w:r>
          </w:p>
        </w:tc>
        <w:tc>
          <w:tcPr>
            <w:tcW w:w="1200" w:type="dxa"/>
          </w:tcPr>
          <w:p>
            <w:pPr>
              <w:spacing w:before="20" w:after="20"/>
              <w:jc w:val="center"/>
            </w:pPr>
            <w:r>
              <w:rPr>
                <w:b/>
                <w:color w:val="000000"/>
                <w:sz w:val="16"/>
              </w:rPr>
              <w:t>0.941</w:t>
            </w:r>
          </w:p>
        </w:tc>
        <w:tc>
          <w:tcPr>
            <w:tcW w:w="1000" w:type="dxa"/>
          </w:tcPr>
          <w:p>
            <w:pPr>
              <w:spacing w:before="20" w:after="20"/>
              <w:jc w:val="center"/>
            </w:pPr>
            <w:r>
              <w:rPr>
                <w:b/>
                <w:color w:val="000000"/>
                <w:sz w:val="16"/>
              </w:rPr>
              <w:t>+0.205</w:t>
            </w:r>
          </w:p>
        </w:tc>
      </w:tr>
    </w:tbl>
    <w:p>
      <w:pPr>
        <w:pStyle w:val="Subsection"/>
      </w:pPr>
      <w:r>
        <w:t>B. Results by Class</w:t>
      </w:r>
    </w:p>
    <w:p>
      <w:r>
        <w:t>From the results it can clearly be seen that the ViT+LoRA model outperforms the CLIP method on 14 of the 15 classes. The only exception is the carpet class where CLIP achieved an AUROC of 0.933 compared to the ViT+LoRA method which achieved 0.867.</w:t>
      </w:r>
    </w:p>
    <w:p>
      <w:r>
        <w:rPr>
          <w:b/>
        </w:rPr>
        <w:t>Object Classes.</w:t>
      </w:r>
    </w:p>
    <w:p>
      <w:r>
        <w:t>The ViT+LoRA model achieved great improvements in AUROC for the object classes, improving the mean by 0.300 (0.630 to 0.930). The greatest improvements were achieved by the classes which had a small structural defect. These were pill (+0.440), screw (+0.380) and capsule (+0.367). These classes had subtle defects such as scratches, dents, and contamination, which were hard to describe using natural language.</w:t>
      </w:r>
    </w:p>
    <w:p>
      <w:r>
        <w:rPr>
          <w:b/>
        </w:rPr>
        <w:t>Texture Classes.</w:t>
      </w:r>
    </w:p>
    <w:p>
      <w:r>
        <w:t>Interestingly the CLIP model outperformed the ViT+LoRA model on texture classes. The mean was 0.793 compared to 0.630 for the object classes. This suggests the CLIP model is better at capturing the semantic difference between normal and damaged textures. This can be seen in the carpet class, the CLIP model outperformed the supervised model due to the carpet class having more semantically salient defects compared to the objects.</w:t>
      </w:r>
    </w:p>
    <w:p>
      <w:pPr>
        <w:pStyle w:val="Subsection"/>
      </w:pPr>
      <w:r>
        <w:t>C. Statistical Significance</w:t>
      </w:r>
    </w:p>
    <w:p>
      <w:r>
        <w:t>To quantify the difference between the two methods we can calculate the effect size (Cohen’s d). We will treat the AUROC scores for each of the 15 classes as paired samples. This gives us a Cohen’s d of d = 1.89. As this value is large (1.89) we can conclude there is a very large effect size (small - 0.2, medium - 0.5, large - 0.8). This can be further confirmed with a paired t-test which gave us t(14) = 7.34, p &lt; 0.001.</w:t>
      </w:r>
    </w:p>
    <w:p>
      <w:pPr>
        <w:pStyle w:val="TableCaption"/>
      </w:pPr>
      <w:r>
        <w:t>TABLE IV</w:t>
      </w:r>
    </w:p>
    <w:p>
      <w:pPr>
        <w:pStyle w:val="TableCaption"/>
      </w:pPr>
      <w:r>
        <w:t>STATISTICAL SUMMARY</w:t>
      </w:r>
    </w:p>
    <w:tbl>
      <w:tblPr>
        <w:tblW w:w="5000" w:type="pct"/>
        <w:tblBorders>
          <w:top w:val="single" w:color="000000" w:sz="6"/>
          <w:left w:val="nil"/>
          <w:bottom w:val="single" w:color="000000" w:sz="6"/>
          <w:right w:val="nil"/>
          <w:insideH w:val="nil"/>
          <w:insideV w:val="nil"/>
        </w:tblBorders>
      </w:tblPr>
      <w:tblGrid>
        <w:gridCol w:w="3400"/>
        <w:gridCol w:w="2600"/>
        <w:gridCol w:w="2600"/>
      </w:tblGrid>
      <w:tr>
        <w:trPr>
          <w:tblHeader/>
        </w:trPr>
        <w:tc>
          <w:tcPr>
            <w:tcW w:w="3400" w:type="dxa"/>
            <w:shd w:val="clear" w:fill="eeeeee"/>
          </w:tcPr>
          <w:p>
            <w:pPr>
              <w:spacing w:before="20" w:after="20"/>
              <w:jc w:val="center"/>
            </w:pPr>
            <w:r>
              <w:rPr>
                <w:b/>
                <w:color w:val="000000"/>
                <w:sz w:val="16"/>
              </w:rPr>
              <w:t>Metric</w:t>
            </w:r>
          </w:p>
        </w:tc>
        <w:tc>
          <w:tcPr>
            <w:tcW w:w="2600" w:type="dxa"/>
            <w:shd w:val="clear" w:fill="eeeeee"/>
          </w:tcPr>
          <w:p>
            <w:pPr>
              <w:spacing w:before="20" w:after="20"/>
              <w:jc w:val="center"/>
            </w:pPr>
            <w:r>
              <w:rPr>
                <w:b/>
                <w:color w:val="000000"/>
                <w:sz w:val="16"/>
              </w:rPr>
              <w:t>CLIP Zero Shot</w:t>
            </w:r>
          </w:p>
        </w:tc>
        <w:tc>
          <w:tcPr>
            <w:tcW w:w="2600" w:type="dxa"/>
            <w:shd w:val="clear" w:fill="eeeeee"/>
          </w:tcPr>
          <w:p>
            <w:pPr>
              <w:spacing w:before="20" w:after="20"/>
              <w:jc w:val="center"/>
            </w:pPr>
            <w:r>
              <w:rPr>
                <w:b/>
                <w:color w:val="000000"/>
                <w:sz w:val="16"/>
              </w:rPr>
              <w:t>ViT+LoRA</w:t>
            </w:r>
          </w:p>
        </w:tc>
      </w:tr>
      <w:tr>
        <w:tc>
          <w:tcPr>
            <w:tcW w:w="3400" w:type="dxa"/>
          </w:tcPr>
          <w:p>
            <w:pPr>
              <w:spacing w:before="20" w:after="20"/>
              <w:jc w:val="center"/>
            </w:pPr>
            <w:r>
              <w:rPr>
                <w:color w:val="000000"/>
                <w:sz w:val="16"/>
              </w:rPr>
              <w:t>Mean AUROC (All)</w:t>
            </w:r>
          </w:p>
        </w:tc>
        <w:tc>
          <w:tcPr>
            <w:tcW w:w="2600" w:type="dxa"/>
          </w:tcPr>
          <w:p>
            <w:pPr>
              <w:spacing w:before="20" w:after="20"/>
              <w:jc w:val="center"/>
            </w:pPr>
            <w:r>
              <w:rPr>
                <w:color w:val="000000"/>
                <w:sz w:val="16"/>
              </w:rPr>
              <w:t>0.736</w:t>
            </w:r>
          </w:p>
        </w:tc>
        <w:tc>
          <w:tcPr>
            <w:tcW w:w="2600" w:type="dxa"/>
          </w:tcPr>
          <w:p>
            <w:pPr>
              <w:spacing w:before="20" w:after="20"/>
              <w:jc w:val="center"/>
            </w:pPr>
            <w:r>
              <w:rPr>
                <w:color w:val="000000"/>
                <w:sz w:val="16"/>
              </w:rPr>
              <w:t>0.941</w:t>
            </w:r>
          </w:p>
        </w:tc>
      </w:tr>
      <w:tr>
        <w:tc>
          <w:tcPr>
            <w:tcW w:w="3400" w:type="dxa"/>
          </w:tcPr>
          <w:p>
            <w:pPr>
              <w:spacing w:before="20" w:after="20"/>
              <w:jc w:val="center"/>
            </w:pPr>
            <w:r>
              <w:rPr>
                <w:color w:val="000000"/>
                <w:sz w:val="16"/>
              </w:rPr>
              <w:t>Mean AUROC (Object)</w:t>
            </w:r>
          </w:p>
        </w:tc>
        <w:tc>
          <w:tcPr>
            <w:tcW w:w="2600" w:type="dxa"/>
          </w:tcPr>
          <w:p>
            <w:pPr>
              <w:spacing w:before="20" w:after="20"/>
              <w:jc w:val="center"/>
            </w:pPr>
            <w:r>
              <w:rPr>
                <w:color w:val="000000"/>
                <w:sz w:val="16"/>
              </w:rPr>
              <w:t>0.630</w:t>
            </w:r>
          </w:p>
        </w:tc>
        <w:tc>
          <w:tcPr>
            <w:tcW w:w="2600" w:type="dxa"/>
          </w:tcPr>
          <w:p>
            <w:pPr>
              <w:spacing w:before="20" w:after="20"/>
              <w:jc w:val="center"/>
            </w:pPr>
            <w:r>
              <w:rPr>
                <w:color w:val="000000"/>
                <w:sz w:val="16"/>
              </w:rPr>
              <w:t>0.930</w:t>
            </w:r>
          </w:p>
        </w:tc>
      </w:tr>
      <w:tr>
        <w:tc>
          <w:tcPr>
            <w:tcW w:w="3400" w:type="dxa"/>
          </w:tcPr>
          <w:p>
            <w:pPr>
              <w:spacing w:before="20" w:after="20"/>
              <w:jc w:val="center"/>
            </w:pPr>
            <w:r>
              <w:rPr>
                <w:color w:val="000000"/>
                <w:sz w:val="16"/>
              </w:rPr>
              <w:t>Mean AUROC (Texture)</w:t>
            </w:r>
          </w:p>
        </w:tc>
        <w:tc>
          <w:tcPr>
            <w:tcW w:w="2600" w:type="dxa"/>
          </w:tcPr>
          <w:p>
            <w:pPr>
              <w:spacing w:before="20" w:after="20"/>
              <w:jc w:val="center"/>
            </w:pPr>
            <w:r>
              <w:rPr>
                <w:color w:val="000000"/>
                <w:sz w:val="16"/>
              </w:rPr>
              <w:t>0.793</w:t>
            </w:r>
          </w:p>
        </w:tc>
        <w:tc>
          <w:tcPr>
            <w:tcW w:w="2600" w:type="dxa"/>
          </w:tcPr>
          <w:p>
            <w:pPr>
              <w:spacing w:before="20" w:after="20"/>
              <w:jc w:val="center"/>
            </w:pPr>
            <w:r>
              <w:rPr>
                <w:color w:val="000000"/>
                <w:sz w:val="16"/>
              </w:rPr>
              <w:t>0.951</w:t>
            </w:r>
          </w:p>
        </w:tc>
      </w:tr>
      <w:tr>
        <w:tc>
          <w:tcPr>
            <w:tcW w:w="3400" w:type="dxa"/>
          </w:tcPr>
          <w:p>
            <w:pPr>
              <w:spacing w:before="20" w:after="20"/>
              <w:jc w:val="center"/>
            </w:pPr>
            <w:r>
              <w:rPr>
                <w:color w:val="000000"/>
                <w:sz w:val="16"/>
              </w:rPr>
              <w:t>Standard Deviation</w:t>
            </w:r>
          </w:p>
        </w:tc>
        <w:tc>
          <w:tcPr>
            <w:tcW w:w="2600" w:type="dxa"/>
          </w:tcPr>
          <w:p>
            <w:pPr>
              <w:spacing w:before="20" w:after="20"/>
              <w:jc w:val="center"/>
            </w:pPr>
            <w:r>
              <w:rPr>
                <w:color w:val="000000"/>
                <w:sz w:val="16"/>
              </w:rPr>
              <w:t>0.147</w:t>
            </w:r>
          </w:p>
        </w:tc>
        <w:tc>
          <w:tcPr>
            <w:tcW w:w="2600" w:type="dxa"/>
          </w:tcPr>
          <w:p>
            <w:pPr>
              <w:spacing w:before="20" w:after="20"/>
              <w:jc w:val="center"/>
            </w:pPr>
            <w:r>
              <w:rPr>
                <w:color w:val="000000"/>
                <w:sz w:val="16"/>
              </w:rPr>
              <w:t>0.037</w:t>
            </w:r>
          </w:p>
        </w:tc>
      </w:tr>
      <w:tr>
        <w:tc>
          <w:tcPr>
            <w:tcW w:w="3400" w:type="dxa"/>
          </w:tcPr>
          <w:p>
            <w:pPr>
              <w:spacing w:before="20" w:after="20"/>
              <w:jc w:val="center"/>
            </w:pPr>
            <w:r>
              <w:rPr>
                <w:color w:val="000000"/>
                <w:sz w:val="16"/>
              </w:rPr>
              <w:t>Best Performing Class</w:t>
            </w:r>
          </w:p>
        </w:tc>
        <w:tc>
          <w:tcPr>
            <w:tcW w:w="2600" w:type="dxa"/>
          </w:tcPr>
          <w:p>
            <w:pPr>
              <w:spacing w:before="20" w:after="20"/>
              <w:jc w:val="center"/>
            </w:pPr>
            <w:r>
              <w:rPr>
                <w:color w:val="000000"/>
                <w:sz w:val="16"/>
              </w:rPr>
              <w:t>carpet (0.933)</w:t>
            </w:r>
          </w:p>
        </w:tc>
        <w:tc>
          <w:tcPr>
            <w:tcW w:w="2600" w:type="dxa"/>
          </w:tcPr>
          <w:p>
            <w:pPr>
              <w:spacing w:before="20" w:after="20"/>
              <w:jc w:val="center"/>
            </w:pPr>
            <w:r>
              <w:rPr>
                <w:color w:val="000000"/>
                <w:sz w:val="16"/>
              </w:rPr>
              <w:t>pill (0.982)</w:t>
            </w:r>
          </w:p>
        </w:tc>
      </w:tr>
      <w:tr>
        <w:tc>
          <w:tcPr>
            <w:tcW w:w="3400" w:type="dxa"/>
          </w:tcPr>
          <w:p>
            <w:pPr>
              <w:spacing w:before="20" w:after="20"/>
              <w:jc w:val="center"/>
            </w:pPr>
            <w:r>
              <w:rPr>
                <w:color w:val="000000"/>
                <w:sz w:val="16"/>
              </w:rPr>
              <w:t>Worst Performing Class</w:t>
            </w:r>
          </w:p>
        </w:tc>
        <w:tc>
          <w:tcPr>
            <w:tcW w:w="2600" w:type="dxa"/>
          </w:tcPr>
          <w:p>
            <w:pPr>
              <w:spacing w:before="20" w:after="20"/>
              <w:jc w:val="center"/>
            </w:pPr>
            <w:r>
              <w:rPr>
                <w:color w:val="000000"/>
                <w:sz w:val="16"/>
              </w:rPr>
              <w:t>screw (0.506)</w:t>
            </w:r>
          </w:p>
        </w:tc>
        <w:tc>
          <w:tcPr>
            <w:tcW w:w="2600" w:type="dxa"/>
          </w:tcPr>
          <w:p>
            <w:pPr>
              <w:spacing w:before="20" w:after="20"/>
              <w:jc w:val="center"/>
            </w:pPr>
            <w:r>
              <w:rPr>
                <w:color w:val="000000"/>
                <w:sz w:val="16"/>
              </w:rPr>
              <w:t>toothbrush (0.873)</w:t>
            </w:r>
          </w:p>
        </w:tc>
      </w:tr>
      <w:tr>
        <w:tc>
          <w:tcPr>
            <w:tcW w:w="3400" w:type="dxa"/>
          </w:tcPr>
          <w:p>
            <w:pPr>
              <w:spacing w:before="20" w:after="20"/>
              <w:jc w:val="center"/>
            </w:pPr>
            <w:r>
              <w:rPr>
                <w:color w:val="000000"/>
                <w:sz w:val="16"/>
              </w:rPr>
              <w:t>Won Classes</w:t>
            </w:r>
          </w:p>
        </w:tc>
        <w:tc>
          <w:tcPr>
            <w:tcW w:w="2600" w:type="dxa"/>
          </w:tcPr>
          <w:p>
            <w:pPr>
              <w:spacing w:before="20" w:after="20"/>
              <w:jc w:val="center"/>
            </w:pPr>
            <w:r>
              <w:rPr>
                <w:color w:val="000000"/>
                <w:sz w:val="16"/>
              </w:rPr>
              <w:t>1/15</w:t>
            </w:r>
          </w:p>
        </w:tc>
        <w:tc>
          <w:tcPr>
            <w:tcW w:w="2600" w:type="dxa"/>
          </w:tcPr>
          <w:p>
            <w:pPr>
              <w:spacing w:before="20" w:after="20"/>
              <w:jc w:val="center"/>
            </w:pPr>
            <w:r>
              <w:rPr>
                <w:color w:val="000000"/>
                <w:sz w:val="16"/>
              </w:rPr>
              <w:t>14/15</w:t>
            </w:r>
          </w:p>
        </w:tc>
      </w:tr>
      <w:tr>
        <w:tc>
          <w:tcPr>
            <w:tcW w:w="3400" w:type="dxa"/>
          </w:tcPr>
          <w:p>
            <w:pPr>
              <w:spacing w:before="20" w:after="20"/>
              <w:jc w:val="center"/>
            </w:pPr>
            <w:r>
              <w:rPr>
                <w:color w:val="000000"/>
                <w:sz w:val="16"/>
              </w:rPr>
              <w:t>Cohen’s d</w:t>
            </w:r>
          </w:p>
        </w:tc>
        <w:tc>
          <w:tcPr>
            <w:tcW w:w="2600" w:type="dxa"/>
          </w:tcPr>
          <w:p>
            <w:pPr>
              <w:spacing w:before="20" w:after="20"/>
              <w:jc w:val="center"/>
            </w:pPr>
            <w:r>
              <w:rPr>
                <w:color w:val="000000"/>
                <w:sz w:val="16"/>
              </w:rPr>
              <w:t>-</w:t>
            </w:r>
          </w:p>
        </w:tc>
        <w:tc>
          <w:tcPr>
            <w:tcW w:w="2600" w:type="dxa"/>
          </w:tcPr>
          <w:p>
            <w:pPr>
              <w:spacing w:before="20" w:after="20"/>
              <w:jc w:val="center"/>
            </w:pPr>
            <w:r>
              <w:rPr>
                <w:color w:val="000000"/>
                <w:sz w:val="16"/>
              </w:rPr>
              <w:t>1.89 (Very Large)</w:t>
            </w:r>
          </w:p>
        </w:tc>
      </w:tr>
      <w:tr>
        <w:tc>
          <w:tcPr>
            <w:tcW w:w="3400" w:type="dxa"/>
          </w:tcPr>
          <w:p>
            <w:pPr>
              <w:spacing w:before="20" w:after="20"/>
              <w:jc w:val="center"/>
            </w:pPr>
            <w:r>
              <w:rPr>
                <w:color w:val="000000"/>
                <w:sz w:val="16"/>
              </w:rPr>
              <w:t>Paired t-test</w:t>
            </w:r>
          </w:p>
        </w:tc>
        <w:tc>
          <w:tcPr>
            <w:tcW w:w="2600" w:type="dxa"/>
          </w:tcPr>
          <w:p>
            <w:pPr>
              <w:spacing w:before="20" w:after="20"/>
              <w:jc w:val="center"/>
            </w:pPr>
            <w:r>
              <w:rPr>
                <w:color w:val="000000"/>
                <w:sz w:val="16"/>
              </w:rPr>
              <w:t>-</w:t>
            </w:r>
          </w:p>
        </w:tc>
        <w:tc>
          <w:tcPr>
            <w:tcW w:w="2600" w:type="dxa"/>
          </w:tcPr>
          <w:p>
            <w:pPr>
              <w:spacing w:before="20" w:after="20"/>
              <w:jc w:val="center"/>
            </w:pPr>
            <w:r>
              <w:rPr>
                <w:color w:val="000000"/>
                <w:sz w:val="16"/>
              </w:rPr>
              <w:t>t(14) = 7.34, p &lt; 0.001</w:t>
            </w:r>
          </w:p>
        </w:tc>
      </w:tr>
    </w:tbl>
    <w:p>
      <w:pPr>
        <w:keepNext/>
        <w:spacing w:before="100" w:after="40"/>
        <w:jc w:val="center"/>
      </w:pPr>
      <w:r>
        <w:drawing>
          <wp:inline distT="0" distB="0" distL="0" distR="0">
            <wp:extent cx="2880000" cy="1421172"/>
            <wp:effectExtent l="0" t="0" r="0" b="0"/>
            <wp:docPr id="1" name="ResultsChart"/>
            <wp:cNvGraphicFramePr>
              <a:graphicFrameLocks noChangeAspect="1"/>
            </wp:cNvGraphicFramePr>
            <a:graphic>
              <a:graphicData uri="http://schemas.openxmlformats.org/drawingml/2006/picture">
                <pic:pic>
                  <pic:nvPicPr>
                    <pic:cNvPr id="0" name="results_chart.png"/>
                    <pic:cNvPicPr/>
                  </pic:nvPicPr>
                  <pic:blipFill>
                    <a:blip r:embed="R7cdd4a836ba242bb"/>
                    <a:stretch>
                      <a:fillRect/>
                    </a:stretch>
                  </pic:blipFill>
                  <pic:spPr>
                    <a:xfrm>
                      <a:off x="0" y="0"/>
                      <a:ext cx="2880000" cy="1421172"/>
                    </a:xfrm>
                    <a:prstGeom prst="rect"/>
                  </pic:spPr>
                </pic:pic>
              </a:graphicData>
            </a:graphic>
          </wp:inline>
        </w:drawing>
      </w:r>
    </w:p>
    <w:p>
      <w:pPr>
        <w:pStyle w:val="Caption"/>
      </w:pPr>
      <w:r>
        <w:t>Fig. 1. Image-level AUROC results across all 15 categories. The green bars show the texture classes. The dashed line shows the mean AUROC for each method.</w:t>
      </w:r>
    </w:p>
    <w:p>
      <w:pPr>
        <w:pStyle w:val="Section"/>
      </w:pPr>
      <w:r>
        <w:t>VI. DISCUSSION</w:t>
      </w:r>
    </w:p>
    <w:p>
      <w:pPr>
        <w:pStyle w:val="Subsection"/>
      </w:pPr>
      <w:r>
        <w:t>A. Discussion</w:t>
      </w:r>
    </w:p>
    <w:p>
      <w:r>
        <w:t>Overall the results answer each of the questions.</w:t>
      </w:r>
    </w:p>
    <w:p>
      <w:r>
        <w:t>RQ1: The ViT+LoRA method achieved a much higher image-level AUROC (0.941) compared to the CLIP model (0.736). It had a large effect size with an overall improvement in mean of +0.205.</w:t>
      </w:r>
    </w:p>
    <w:p>
      <w:r>
        <w:t>RQ2: The results show that the object classes had the largest improvements in AUROC (+0.300 mean). The texture classes had a moderate improvement in AUROC (+0.157 mean). The CLIP model was competitive in the texture classes.</w:t>
      </w:r>
    </w:p>
    <w:p>
      <w:r>
        <w:t>RQ3: The results were not only statistically significant (p &lt; 0.001) but also had a large effect (Cohen’s d = 1.89).</w:t>
      </w:r>
    </w:p>
    <w:p>
      <w:r>
        <w:t>RQ4: The choice of the methods will depend on the situation. If a high level of accuracy is crucial then the ViT+LoRA method would be suitable. If there is no training data available, rapid prototyping is needed or if there is a need to inspect texture based materials where CLIP performs well then the CLIP method would be suitable.</w:t>
      </w:r>
    </w:p>
    <w:p>
      <w:pPr>
        <w:pStyle w:val="Subsection"/>
      </w:pPr>
      <w:r>
        <w:t>B. Biases and Limitations</w:t>
      </w:r>
    </w:p>
    <w:p>
      <w:r>
        <w:t>There are several limitations and potential biases.</w:t>
      </w:r>
    </w:p>
    <w:p>
      <w:r>
        <w:rPr>
          <w:b/>
        </w:rPr>
        <w:t>Dataset Bias.</w:t>
      </w:r>
    </w:p>
    <w:p>
      <w:r>
        <w:t>The MVTec AD dataset only contains industrial products from Germany. The lighting would have been controlled. This means there is a risk that the models will not generalise to other cultural products, lighting or camera systems. The CLIP model may also have reduced performance on the images due to the difference from the training set (Internet).</w:t>
      </w:r>
    </w:p>
    <w:p>
      <w:r>
        <w:rPr>
          <w:b/>
        </w:rPr>
        <w:t>Resolution.</w:t>
      </w:r>
    </w:p>
    <w:p>
      <w:r>
        <w:t>The images have been reduced from 1024 x 1024px to 224 x 224px. This may have removed fine grain detail that could have been important for the detection of micro defects. In future work the models could be tried with a higher-resolution image or patch.</w:t>
      </w:r>
    </w:p>
    <w:p>
      <w:r>
        <w:rPr>
          <w:b/>
        </w:rPr>
        <w:t>Class Imbalance.</w:t>
      </w:r>
    </w:p>
    <w:p>
      <w:r>
        <w:t>In each class there are certain defect types which are more prevalent. For example, the pill class had multiple defect types (colour, scratch, contamination). Screw did not have as many. This may have caused a bias in the evaluation metric (AUROC).</w:t>
      </w:r>
    </w:p>
    <w:p>
      <w:r>
        <w:rPr>
          <w:b/>
        </w:rPr>
        <w:t>Prompt Sensitive.</w:t>
      </w:r>
    </w:p>
    <w:p>
      <w:r>
        <w:t>The CLIP model is sensitive to the prompt. We used a standard prompt but different phrasing (flawless, damaged, corrupted) may produce different results. This is an underexplored area in CLIP based ZSAD.</w:t>
      </w:r>
    </w:p>
    <w:p>
      <w:r>
        <w:rPr>
          <w:b/>
        </w:rPr>
        <w:t>Asymmetric Training.</w:t>
      </w:r>
    </w:p>
    <w:p>
      <w:r>
        <w:t>The ViT+LoRA model was trained on only normal samples. The CLIP model has been pre-trained on billions of images and has seen a wide variety of images. This means it is very generalised but is a fixed model. Whilst the ViT+LoRA is specialised it is trained on a narrow set of samples. The ViT+LoRA model may not have the advantage if the CLIP model is further adapted using the auxiliary anomaly detection data.</w:t>
      </w:r>
    </w:p>
    <w:p>
      <w:pPr>
        <w:pStyle w:val="Section"/>
      </w:pPr>
      <w:r>
        <w:t>VII. ETHICAL IMPLICATIONS</w:t>
      </w:r>
    </w:p>
    <w:p>
      <w:r>
        <w:t>There are several ethical implications to consider when implementing automated anomaly detection systems.</w:t>
      </w:r>
    </w:p>
    <w:p>
      <w:r>
        <w:rPr>
          <w:b/>
        </w:rPr>
        <w:t>Labour.</w:t>
      </w:r>
    </w:p>
    <w:p>
      <w:r>
        <w:t>Automated visual inspection systems are becoming much more cost-effective to implement, especially those with lightweight models trained with fine-tuning (ViT+LoRA). Whilst these reduce the risk to humans in the inspection environment, it could put skilled quality control workers out of a job. It is important to implement them responsibly which includes providing re-training to allow the workers to move into supervisory or maintenance roles.</w:t>
      </w:r>
    </w:p>
    <w:p>
      <w:r>
        <w:rPr>
          <w:b/>
        </w:rPr>
        <w:t>Safety Critical.</w:t>
      </w:r>
    </w:p>
    <w:p>
      <w:r>
        <w:t>In the pharmaceutical, automotive and aerospace industries, it is critical that defects are detected. The best performing model (ViT+LoRA) still had a low AUROC (0.873) on the toothbrush class. This means some defects were not detected. No automated system should ever be implemented in safety critical situations. By using a human-in-the-loop approach, where the system flags any suspicious areas, a safer option can be provided.</w:t>
      </w:r>
    </w:p>
    <w:p>
      <w:r>
        <w:rPr>
          <w:b/>
        </w:rPr>
        <w:t>Environmental Cost.</w:t>
      </w:r>
    </w:p>
    <w:p>
      <w:r>
        <w:t>Whilst training 15 different LoRA adapters will be parameter efficient it will still consume GPU hours and electricity. The pre-training of the CLIP and ViT models will have a large embodied carbon footprint (hundreds of GPU days) which will need to be amortised over their useful life. For small manufacturing facilities this will be passed onto the cloud for inference. Alternative methods should be explored which use less energy such as distilling the LoRA adapters to create smaller student models.</w:t>
      </w:r>
    </w:p>
    <w:p>
      <w:r>
        <w:rPr>
          <w:b/>
        </w:rPr>
        <w:t>Bias.</w:t>
      </w:r>
    </w:p>
    <w:p>
      <w:r>
        <w:t>If the anomaly detection systems are mainly trained on products from certain manufacturers or regions then there could be bias in the model. If the model is trained on metal nuts manufactured in Europe it may flag legitimate differences in the surface finish from Asian suppliers as an anomaly. Regular bias audits should be carried out with a variety of suppliers.</w:t>
      </w:r>
    </w:p>
    <w:p>
      <w:r>
        <w:rPr>
          <w:b/>
        </w:rPr>
        <w:t>Privacy.</w:t>
      </w:r>
    </w:p>
    <w:p>
      <w:r>
        <w:t>The visual inspection systems will produce high resolution images of the products. This may unintentionally expose information about the product design. The data should be properly governed to ensure that the training data is securely stored, the model does not expose any sensitive information and that any third party cloud providers adhere to industry specific confidentiality rules.</w:t>
      </w:r>
    </w:p>
    <w:p>
      <w:pPr>
        <w:pStyle w:val="Section"/>
      </w:pPr>
      <w:r>
        <w:t>VIII. CONCLUSION AND FUTURE WORK</w:t>
      </w:r>
    </w:p>
    <w:p>
      <w:r>
        <w:t>This study investigated the difference between using CLIP based zero shot detection and supervised fine-tuning using the ViT+LoRA model for all 15 classes in the MVTec AD benchmark. The main findings were:</w:t>
      </w:r>
    </w:p>
    <w:p>
      <w:r>
        <w:t>Finding 1: The ViT+LoRA model achieved a mean AUROC of 0.941, this was significantly higher than the CLIP model with a large effect size (Cohen’s d = 1.89).</w:t>
      </w:r>
    </w:p>
    <w:p>
      <w:r>
        <w:t>Finding 2: The ViT+LoRA model won on 14 of the 15 classes. The greatest improvements were with the object classes which had small complex defects (pill, screw, capsule).</w:t>
      </w:r>
    </w:p>
    <w:p>
      <w:r>
        <w:t>Finding 3: The CLIP model was surprisingly competitive on the texture classes. It had a mean AUROC of 0.793 and even performed better than the ViT+LoRA model on the carpet class. It would be a good zero-cost option for texture inspection.</w:t>
      </w:r>
    </w:p>
    <w:p>
      <w:r>
        <w:t>Finding 4: The choice of method will depend on the situation. If accuracy is vital then the ViT+LoRA model would be suitable. If rapid prototyping is required for texture inspection then the CLIP model would be suitable.</w:t>
      </w:r>
    </w:p>
    <w:p>
      <w:r>
        <w:t>Future Work: There are several areas of interest to look into. Firstly, contextual robustness. This would investigate how the methods would perform using real-world acquisition changes (lighting, camera angle and occlusion). This would address a key concern raised by Dohi et al. Secondly, pixel-level segmentation. This would allow us to analyse how well the methods are performing at localising defects. This could be compared to models such as SAM-AD. Thirdly, using CLIP with SAM (Grounded-CLIP). This would bring together the strengths of both models. Lastly, looking at larger CLIP variants (SigLIP, EVA-CLIP). This would help determine whether the difference in performance is due to the nature of the zero shot approach or if it is an artefact of the model.</w:t>
      </w:r>
    </w:p>
    <w:p>
      <w:r>
        <w:t>Reproducibility: All experiments have been completed within an interactive Google Colab notebook. The notebook can be accessed at https://colab.research.google.com/drive/1iiGu2utDMbqKyjjaK5yAITQNcGKvHhfF. The notebook includes loading the data using FiftyOne, running the CLIP model and training the LoRA model using PEFT. There is also code to analyse the statistics.</w:t>
      </w:r>
    </w:p>
    <w:p>
      <w:pPr>
        <w:pStyle w:val="Section"/>
      </w:pPr>
      <w:r>
        <w:t>References </w:t>
      </w:r>
    </w:p>
    <w:p>
      <w:pPr>
        <w:pStyle w:val="Reference"/>
      </w:pPr>
      <w:r>
        <w:t>[1] McKinsey &amp; Company (2023) The value of AI in manufacturing - Global economic impact analysis. McKinsey Global Institute.</w:t>
      </w:r>
    </w:p>
    <w:p>
      <w:pPr>
        <w:pStyle w:val="Reference"/>
      </w:pPr>
      <w:r>
        <w:t>[2] Radford, A., Kim, J. W., Hallacy, C. et al. (2021) Learning transferable visual models from natural language supervision. ICML, 139, 8748-8763.</w:t>
      </w:r>
    </w:p>
    <w:p>
      <w:pPr>
        <w:pStyle w:val="Reference"/>
      </w:pPr>
      <w:r>
        <w:t>[3] Hu, E. J., Shen, Y., Wallis, P. et al. (2022) LoRA: Low-rank adaptation of large language models. ICLR.</w:t>
      </w:r>
    </w:p>
    <w:p>
      <w:pPr>
        <w:pStyle w:val="Reference"/>
      </w:pPr>
      <w:r>
        <w:t>[4] Bergmann P, Fauser M, Sattlegger D, Steger C (2019) MVTec AD - A comprehensive real-world dataset for unsupervised anomaly detection. CVPR, 9584-9592.</w:t>
      </w:r>
    </w:p>
    <w:p>
      <w:pPr>
        <w:pStyle w:val="Reference"/>
      </w:pPr>
      <w:r>
        <w:t>[5] Jeong, K. and Jo, S. (2026) Domain adaptation of attention heads for zero-shot anomaly detection. arXiv preprint arXiv:2505.22259.</w:t>
      </w:r>
    </w:p>
    <w:p>
      <w:pPr>
        <w:pStyle w:val="Reference"/>
      </w:pPr>
      <w:r>
        <w:t>[6] Jiang, J., He, Z., Wan, A., et al (2025) Zero-shot industrial anomaly detection using CLIP-DINOv2 multimodal fusion and stabilized attention pooling. Electronics, 14(24), 4785.</w:t>
      </w:r>
    </w:p>
    <w:p>
      <w:pPr>
        <w:pStyle w:val="Reference"/>
      </w:pPr>
      <w:r>
        <w:t>[7] Dohi, K. and Takeishi, N. and Yairi, T. (2026) Robustness of zero-shot CLIP to contextual variations in industrial anomaly detection: A factorized sensitivity analysis. IEEE Access.</w:t>
      </w:r>
    </w:p>
    <w:p>
      <w:pPr>
        <w:pStyle w:val="Reference"/>
      </w:pPr>
      <w:r>
        <w:t>[8] Zhu, H. et al. (2026) Zero-shot industrial image anomaly detection using CLIP-driven multi-scale aggregation and SAM-based local refinement. Applied Soft Computing, 173, 115764.</w:t>
      </w:r>
    </w:p>
    <w:p>
      <w:pPr>
        <w:pStyle w:val="Reference"/>
      </w:pPr>
      <w:r>
        <w:t>[9] Li, Y., Jia, P., Chen, Y., et al. (2026) Myriad: Large multimodal model with vision experts for industrial anomaly detection. Science China Information Sciences.</w:t>
      </w:r>
    </w:p>
    <w:sectPr>
      <w:headerReference w:type="default" r:id="R3a46b992e2f44442"/>
      <w:footerReference w:type="default" r:id="R6f8d298f6947454f"/>
      <w:pgSz w:w="11906" w:h="16838"/>
      <w:pgMar w:top="1080" w:right="900" w:bottom="1080" w:left="900" w:header="360" w:footer="360"/>
      <w:cols w:space="360" w:num="2"/>
    </w:sectPr>
  </w:body>
</w:document>
</file>

<file path=word/footer1.xml><?xml version="1.0" encoding="utf-8"?>
<w:ftr xmlns:w="http://schemas.openxmlformats.org/wordprocessingml/2006/main">
  <w:p>
    <w:pP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header1.xml><?xml version="1.0" encoding="utf-8"?>
<w:hdr xmlns:w="http://schemas.openxmlformats.org/wordprocessingml/2006/main">
  <w:p>
    <w:pPr>
      <w:jc w:val="center"/>
    </w:pPr>
    <w:r>
      <w:rPr>
        <w:color w:val="333333"/>
        <w:sz w:val="16"/>
      </w:rPr>
      <w:t>MAAI901 — Deep Learning for Visual Data</w:t>
    </w:r>
  </w:p>
</w:hdr>
</file>

<file path=word/styles.xml><?xml version="1.0" encoding="utf-8"?>
<w:styles xmlns:w="http://schemas.openxmlformats.org/wordprocessingml/2006/main">
  <w:style w:type="paragraph" w:styleId="Normal" w:default="true">
    <w:name w:val="Normal"/>
    <w:pPr>
      <w:spacing w:after="0" w:line="240" w:lineRule="auto"/>
      <w:jc w:val="both"/>
    </w:pPr>
    <w:rPr>
      <w:rFonts w:ascii="Times New Roman" w:hAnsi="Times New Roman" w:eastAsia="Times New Roman"/>
      <w:color w:val="000000"/>
      <w:sz w:val="20"/>
    </w:rPr>
  </w:style>
  <w:style w:type="paragraph" w:styleId="Title">
    <w:name w:val="Title"/>
    <w:basedOn w:val="Normal"/>
    <w:pPr>
      <w:spacing w:after="60"/>
      <w:jc w:val="center"/>
    </w:pPr>
    <w:rPr>
      <w:rFonts w:ascii="Times New Roman" w:hAnsi="Times New Roman"/>
      <w:b/>
      <w:sz w:val="28"/>
    </w:rPr>
  </w:style>
  <w:style w:type="paragraph" w:styleId="Author">
    <w:name w:val="Author"/>
    <w:basedOn w:val="Normal"/>
    <w:pPr>
      <w:spacing w:after="40"/>
      <w:jc w:val="center"/>
    </w:pPr>
    <w:rPr>
      <w:sz w:val="22"/>
    </w:rPr>
  </w:style>
  <w:style w:type="paragraph" w:styleId="Abstract">
    <w:name w:val="Abstract"/>
    <w:basedOn w:val="Normal"/>
    <w:pPr>
      <w:spacing w:after="60"/>
      <w:ind w:left="360" w:right="360"/>
    </w:pPr>
    <w:rPr>
      <w:i/>
      <w:sz w:val="18"/>
    </w:rPr>
  </w:style>
  <w:style w:type="paragraph" w:styleId="Section">
    <w:name w:val="Section"/>
    <w:basedOn w:val="Normal"/>
    <w:pPr>
      <w:keepNext/>
      <w:keepLines/>
      <w:spacing w:before="200" w:after="100"/>
      <w:jc w:val="center"/>
    </w:pPr>
    <w:rPr>
      <w:b/>
      <w:caps/>
      <w:sz w:val="20"/>
    </w:rPr>
  </w:style>
  <w:style w:type="paragraph" w:styleId="Subsection">
    <w:name w:val="Subsection"/>
    <w:basedOn w:val="Normal"/>
    <w:pPr>
      <w:keepNext/>
      <w:keepLines/>
      <w:spacing w:before="160" w:after="60"/>
    </w:pPr>
    <w:rPr>
      <w:b/>
      <w:i/>
      <w:sz w:val="20"/>
    </w:rPr>
  </w:style>
  <w:style w:type="paragraph" w:styleId="SubSubsection">
    <w:name w:val="SubSubsection"/>
    <w:basedOn w:val="Normal"/>
    <w:pPr>
      <w:keepNext/>
      <w:spacing w:before="120" w:after="40"/>
    </w:pPr>
    <w:rPr>
      <w:b/>
      <w:sz w:val="20"/>
    </w:rPr>
  </w:style>
  <w:style w:type="paragraph" w:styleId="Caption">
    <w:name w:val="Caption"/>
    <w:basedOn w:val="Normal"/>
    <w:pPr>
      <w:spacing w:before="40" w:after="120"/>
      <w:jc w:val="center"/>
    </w:pPr>
    <w:rPr>
      <w:i/>
      <w:sz w:val="16"/>
    </w:rPr>
  </w:style>
  <w:style w:type="paragraph" w:styleId="TableCaption">
    <w:name w:val="TableCaption"/>
    <w:basedOn w:val="Normal"/>
    <w:pPr>
      <w:spacing w:before="120" w:after="40"/>
      <w:jc w:val="center"/>
    </w:pPr>
    <w:rPr>
      <w:b/>
      <w:caps/>
      <w:sz w:val="16"/>
    </w:rPr>
  </w:style>
  <w:style w:type="paragraph" w:styleId="Reference">
    <w:name w:val="Reference"/>
    <w:basedOn w:val="Normal"/>
    <w:pPr>
      <w:spacing w:after="40"/>
      <w:ind w:left="240" w:hanging="240"/>
    </w:pPr>
    <w:rPr>
      <w:sz w:val="16"/>
    </w:rPr>
  </w:style>
</w:styles>
</file>

<file path=word/_rels/document.xml.rels><?xml version='1.0' encoding='UTF-8'?>
<Relationships xmlns="http://schemas.openxmlformats.org/package/2006/relationships"><Relationship Type="http://schemas.openxmlformats.org/officeDocument/2006/relationships/styles" Target="styles.xml" Id="Re7012105f0884169" /><Relationship Type="http://schemas.openxmlformats.org/officeDocument/2006/relationships/header" Target="header1.xml" Id="R3a46b992e2f44442" /><Relationship Type="http://schemas.openxmlformats.org/officeDocument/2006/relationships/footer" Target="footer1.xml" Id="R6f8d298f6947454f" /><Relationship Type="http://schemas.openxmlformats.org/officeDocument/2006/relationships/image" Target="media/image.png" Id="R7cdd4a836ba242bb" /></Relationships>
</file>