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7D37" w:rsidRDefault="00A32594">
      <w:r>
        <w:t>Work cited for FURI</w:t>
      </w:r>
    </w:p>
    <w:p w:rsidR="00A32594" w:rsidRDefault="00A32594"/>
    <w:p w:rsidR="00A32594" w:rsidRDefault="00FA5C04">
      <w:r>
        <w:t>Static problem reference.</w:t>
      </w:r>
      <w:r>
        <w:fldChar w:fldCharType="begin" w:fldLock="1"/>
      </w:r>
      <w:r>
        <w:instrText>ADDIN CSL_CITATION {"citationItems":[{"id":"ITEM-1","itemData":{"id":"ITEM-1","issued":{"date-parts":[["1990"]]},"publisher-place":"Wellington","title":"Guidelines for the CONTROL OF STATIC ELECTRICITY IN INDUSTRY ARCHIVE","type":"report"},"uris":["http://www.mendeley.com/documents/?uuid=8ad75050-5dd7-3256-973f-5308aa54944f"]}],"mendeley":{"formattedCitation":"&lt;sup&gt;1&lt;/sup&gt;","plainTextFormattedCitation":"1","previouslyFormattedCitation":"&lt;sup&gt;1&lt;/sup&gt;"},"properties":{"noteIndex":0},"schema":"https://github.com/citation-style-language/schema/raw/master/csl-citation.json"}</w:instrText>
      </w:r>
      <w:r>
        <w:fldChar w:fldCharType="separate"/>
      </w:r>
      <w:r w:rsidRPr="00FA5C04">
        <w:rPr>
          <w:noProof/>
          <w:vertAlign w:val="superscript"/>
        </w:rPr>
        <w:t>1</w:t>
      </w:r>
      <w:r>
        <w:fldChar w:fldCharType="end"/>
      </w:r>
    </w:p>
    <w:p w:rsidR="00FA5C04" w:rsidRDefault="005B4D91">
      <w:r>
        <w:t xml:space="preserve">Design of hopper. </w:t>
      </w:r>
      <w:r>
        <w:fldChar w:fldCharType="begin" w:fldLock="1"/>
      </w:r>
      <w:r>
        <w:instrText>ADDIN CSL_CITATION {"citationItems":[{"id":"ITEM-1","itemData":{"DOI":"10.1016/j.ces.2007.07.052","abstract":"The segregation of granular materials due to differences in particle properties occurs during a variety of handling and transport processes, such as flow from a hopper. In the present work, the discrete element method (DEM) is used to investigate segregation of granular materials during discharge from a hopper. The effects of various particle properties and hopper geometries on the segregation of a spherical, bidisperse granular material during hopper discharge are studied. Particle contacts are modeled using a soft-particle model consisting of a hysteretic spring system and sliding friction. The effects of the particle diameter ratio, density ratio, fines mass fraction, hopper wall angle, hopper cross-sectional shape, and the initial fill conditions are investigated. These computational results are compared to those from a small experimental system with the same hopper dimensions and particle properties. The use of this small-scale system permits a novel, one-to-one comparison with the DEM model predictions for the purpose of model validation. The experiments utilize bidisperse glass spheres in a small, Plexiglas cylindrical hopper that is used in the ASTM International standard test for sifting segregation. Particles are discharged from either a 'mass-flow' or 'funnel-flow' hopper design and collected transiently in equal volumes until the hopper is empty. Analysis of the weight fractions of fine and coarse particles is conducted by sieving. A comparison of the computational and experimental results provides an indication of the model's success at predicting segregation during hopper discharge and the applicability of the DEM model to other granular flow systems.","author":[{"dropping-particle":"","family":"Ketterhagen","given":"William R","non-dropping-particle":"","parse-names":false,"suffix":""},{"dropping-particle":"","family":"Curtis","given":"Jennifer S","non-dropping-particle":"","parse-names":false,"suffix":""},{"dropping-particle":"","family":"Wassgren","given":"Carl R","non-dropping-particle":"","parse-names":false,"suffix":""},{"dropping-particle":"","family":"Kong","given":"Angela","non-dropping-particle":"","parse-names":false,"suffix":""},{"dropping-particle":"","family":"Narayan","given":"Padma J","non-dropping-particle":"","parse-names":false,"suffix":""},{"dropping-particle":"","family":"Hancock","given":"Bruno C","non-dropping-particle":"","parse-names":false,"suffix":""}],"container-title":"Chemical Engineering Science","id":"ITEM-1","issued":{"date-parts":[["2007"]]},"page":"6423-6439","title":"Granular segregation in discharging cylindrical hoppers: A discrete element and experimental study","type":"article-journal","volume":"62"},"uris":["http://www.mendeley.com/documents/?uuid=5ea8d104-9155-3151-808a-da278b0608ce"]}],"mendeley":{"formattedCitation":"&lt;sup&gt;2&lt;/sup&gt;","plainTextFormattedCitation":"2"},"properties":{"noteIndex":0},"schema":"https://github.com/citation-style-language/schema/raw/master/csl-citation.json"}</w:instrText>
      </w:r>
      <w:r>
        <w:fldChar w:fldCharType="separate"/>
      </w:r>
      <w:r w:rsidRPr="005B4D91">
        <w:rPr>
          <w:noProof/>
          <w:vertAlign w:val="superscript"/>
        </w:rPr>
        <w:t>2</w:t>
      </w:r>
      <w:r>
        <w:fldChar w:fldCharType="end"/>
      </w:r>
    </w:p>
    <w:p w:rsidR="00FA5C04" w:rsidRDefault="00FA5C04"/>
    <w:p w:rsidR="00FA5C04" w:rsidRDefault="00FA5C04"/>
    <w:p w:rsidR="00FA5C04" w:rsidRDefault="00FA5C04"/>
    <w:p w:rsidR="00FA5C04" w:rsidRDefault="00FA5C04"/>
    <w:p w:rsidR="005B4D91" w:rsidRPr="005B4D91" w:rsidRDefault="00FA5C04" w:rsidP="005B4D91">
      <w:pPr>
        <w:widowControl w:val="0"/>
        <w:autoSpaceDE w:val="0"/>
        <w:autoSpaceDN w:val="0"/>
        <w:adjustRightInd w:val="0"/>
        <w:ind w:left="640" w:hanging="640"/>
        <w:rPr>
          <w:noProof/>
          <w:szCs w:val="24"/>
        </w:rPr>
      </w:pPr>
      <w:r>
        <w:fldChar w:fldCharType="begin" w:fldLock="1"/>
      </w:r>
      <w:r>
        <w:instrText xml:space="preserve">ADDIN Mendeley Bibliography CSL_BIBLIOGRAPHY </w:instrText>
      </w:r>
      <w:r>
        <w:fldChar w:fldCharType="separate"/>
      </w:r>
      <w:r w:rsidR="005B4D91" w:rsidRPr="005B4D91">
        <w:rPr>
          <w:noProof/>
          <w:szCs w:val="24"/>
        </w:rPr>
        <w:t xml:space="preserve">(1) </w:t>
      </w:r>
      <w:r w:rsidR="005B4D91" w:rsidRPr="005B4D91">
        <w:rPr>
          <w:noProof/>
          <w:szCs w:val="24"/>
        </w:rPr>
        <w:tab/>
      </w:r>
      <w:r w:rsidR="005B4D91" w:rsidRPr="005B4D91">
        <w:rPr>
          <w:i/>
          <w:iCs/>
          <w:noProof/>
          <w:szCs w:val="24"/>
        </w:rPr>
        <w:t>Guidelines for the CONTROL OF STATIC ELECTRICITY IN INDUSTRY ARCHIVE</w:t>
      </w:r>
      <w:r w:rsidR="005B4D91" w:rsidRPr="005B4D91">
        <w:rPr>
          <w:noProof/>
          <w:szCs w:val="24"/>
        </w:rPr>
        <w:t>; Wellington, 1990.</w:t>
      </w:r>
    </w:p>
    <w:p w:rsidR="005B4D91" w:rsidRPr="005B4D91" w:rsidRDefault="005B4D91" w:rsidP="005B4D91">
      <w:pPr>
        <w:widowControl w:val="0"/>
        <w:autoSpaceDE w:val="0"/>
        <w:autoSpaceDN w:val="0"/>
        <w:adjustRightInd w:val="0"/>
        <w:ind w:left="640" w:hanging="640"/>
        <w:rPr>
          <w:noProof/>
        </w:rPr>
      </w:pPr>
      <w:r w:rsidRPr="005B4D91">
        <w:rPr>
          <w:noProof/>
          <w:szCs w:val="24"/>
        </w:rPr>
        <w:t xml:space="preserve">(2) </w:t>
      </w:r>
      <w:r w:rsidRPr="005B4D91">
        <w:rPr>
          <w:noProof/>
          <w:szCs w:val="24"/>
        </w:rPr>
        <w:tab/>
        <w:t xml:space="preserve">Ketterhagen, W. R.; Curtis, J. S.; Wassgren, C. R.; Kong, A.; Narayan, P. J.; Hancock, B. C. Granular Segregation in Discharging Cylindrical Hoppers: A Discrete Element and Experimental Study. </w:t>
      </w:r>
      <w:r w:rsidRPr="005B4D91">
        <w:rPr>
          <w:i/>
          <w:iCs/>
          <w:noProof/>
          <w:szCs w:val="24"/>
        </w:rPr>
        <w:t>Chem. Eng. Sci.</w:t>
      </w:r>
      <w:r w:rsidRPr="005B4D91">
        <w:rPr>
          <w:noProof/>
          <w:szCs w:val="24"/>
        </w:rPr>
        <w:t xml:space="preserve"> </w:t>
      </w:r>
      <w:r w:rsidRPr="005B4D91">
        <w:rPr>
          <w:b/>
          <w:bCs/>
          <w:noProof/>
          <w:szCs w:val="24"/>
        </w:rPr>
        <w:t>2007</w:t>
      </w:r>
      <w:r w:rsidRPr="005B4D91">
        <w:rPr>
          <w:noProof/>
          <w:szCs w:val="24"/>
        </w:rPr>
        <w:t xml:space="preserve">, </w:t>
      </w:r>
      <w:r w:rsidRPr="005B4D91">
        <w:rPr>
          <w:i/>
          <w:iCs/>
          <w:noProof/>
          <w:szCs w:val="24"/>
        </w:rPr>
        <w:t>62</w:t>
      </w:r>
      <w:r w:rsidRPr="005B4D91">
        <w:rPr>
          <w:noProof/>
          <w:szCs w:val="24"/>
        </w:rPr>
        <w:t>, 6423–6439. https://doi.org/10.1016/j.ces.2007.07.052.</w:t>
      </w:r>
    </w:p>
    <w:p w:rsidR="00FA5C04" w:rsidRDefault="00FA5C04">
      <w:r>
        <w:fldChar w:fldCharType="end"/>
      </w:r>
      <w:r w:rsidR="00557F58">
        <w:rPr>
          <w:noProof/>
        </w:rPr>
        <w:drawing>
          <wp:inline distT="0" distB="0" distL="0" distR="0">
            <wp:extent cx="5402804" cy="3387364"/>
            <wp:effectExtent l="0" t="1905"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065" t="13462" b="10520"/>
                    <a:stretch/>
                  </pic:blipFill>
                  <pic:spPr bwMode="auto">
                    <a:xfrm rot="5400000">
                      <a:off x="0" y="0"/>
                      <a:ext cx="5409001" cy="3391250"/>
                    </a:xfrm>
                    <a:prstGeom prst="rect">
                      <a:avLst/>
                    </a:prstGeom>
                    <a:noFill/>
                    <a:ln>
                      <a:noFill/>
                    </a:ln>
                    <a:extLst>
                      <a:ext uri="{53640926-AAD7-44D8-BBD7-CCE9431645EC}">
                        <a14:shadowObscured xmlns:a14="http://schemas.microsoft.com/office/drawing/2010/main"/>
                      </a:ext>
                    </a:extLst>
                  </pic:spPr>
                </pic:pic>
              </a:graphicData>
            </a:graphic>
          </wp:inline>
        </w:drawing>
      </w:r>
    </w:p>
    <w:p w:rsidR="003F0D06" w:rsidRDefault="00557F58">
      <w:r>
        <w:rPr>
          <w:noProof/>
        </w:rPr>
        <w:lastRenderedPageBreak/>
        <w:drawing>
          <wp:inline distT="0" distB="0" distL="0" distR="0">
            <wp:extent cx="5506085" cy="2306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32" t="22999" r="6520" b="25242"/>
                    <a:stretch/>
                  </pic:blipFill>
                  <pic:spPr bwMode="auto">
                    <a:xfrm>
                      <a:off x="0" y="0"/>
                      <a:ext cx="5507178" cy="2307240"/>
                    </a:xfrm>
                    <a:prstGeom prst="rect">
                      <a:avLst/>
                    </a:prstGeom>
                    <a:noFill/>
                    <a:ln>
                      <a:noFill/>
                    </a:ln>
                    <a:extLst>
                      <a:ext uri="{53640926-AAD7-44D8-BBD7-CCE9431645EC}">
                        <a14:shadowObscured xmlns:a14="http://schemas.microsoft.com/office/drawing/2010/main"/>
                      </a:ext>
                    </a:extLst>
                  </pic:spPr>
                </pic:pic>
              </a:graphicData>
            </a:graphic>
          </wp:inline>
        </w:drawing>
      </w:r>
    </w:p>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p w:rsidR="003F0D06" w:rsidRDefault="003F0D06">
      <w:r>
        <w:t xml:space="preserve">Background section </w:t>
      </w:r>
    </w:p>
    <w:p w:rsidR="003F0D06" w:rsidRDefault="003F0D06">
      <w:r w:rsidRPr="003F0D06">
        <w:t>Knowing how a particle will behave while being discharged from a hopper, will help engineers avoid problems dealing with content uniformity of the discharge, particles adhering to the sides of the hopper, and  particle clogging the hoppers outlet, stopping the flow.</w:t>
      </w:r>
    </w:p>
    <w:p w:rsidR="00557F58" w:rsidRDefault="00557F58"/>
    <w:p w:rsidR="00557F58" w:rsidRDefault="00557F58">
      <w:r>
        <w:rPr>
          <w:noProof/>
        </w:rPr>
        <w:lastRenderedPageBreak/>
        <w:drawing>
          <wp:inline distT="0" distB="0" distL="0" distR="0">
            <wp:extent cx="4667885" cy="3110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861" t="12432" r="12545" b="17743"/>
                    <a:stretch/>
                  </pic:blipFill>
                  <pic:spPr bwMode="auto">
                    <a:xfrm>
                      <a:off x="0" y="0"/>
                      <a:ext cx="4671258" cy="3112593"/>
                    </a:xfrm>
                    <a:prstGeom prst="rect">
                      <a:avLst/>
                    </a:prstGeom>
                    <a:noFill/>
                    <a:ln>
                      <a:noFill/>
                    </a:ln>
                    <a:extLst>
                      <a:ext uri="{53640926-AAD7-44D8-BBD7-CCE9431645EC}">
                        <a14:shadowObscured xmlns:a14="http://schemas.microsoft.com/office/drawing/2010/main"/>
                      </a:ext>
                    </a:extLst>
                  </pic:spPr>
                </pic:pic>
              </a:graphicData>
            </a:graphic>
          </wp:inline>
        </w:drawing>
      </w:r>
    </w:p>
    <w:p w:rsidR="003A7BEF" w:rsidRDefault="003A7BEF">
      <w:r>
        <w:rPr>
          <w:noProof/>
        </w:rPr>
        <w:drawing>
          <wp:inline distT="0" distB="0" distL="0" distR="0" wp14:anchorId="0FC50E62" wp14:editId="1C4806BF">
            <wp:extent cx="5943600" cy="19767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76755"/>
                    </a:xfrm>
                    <a:prstGeom prst="rect">
                      <a:avLst/>
                    </a:prstGeom>
                  </pic:spPr>
                </pic:pic>
              </a:graphicData>
            </a:graphic>
          </wp:inline>
        </w:drawing>
      </w:r>
      <w:bookmarkStart w:id="0" w:name="_GoBack"/>
      <w:bookmarkEnd w:id="0"/>
    </w:p>
    <w:sectPr w:rsidR="003A7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94"/>
    <w:rsid w:val="001D785F"/>
    <w:rsid w:val="003A7BEF"/>
    <w:rsid w:val="003F0D06"/>
    <w:rsid w:val="004904F2"/>
    <w:rsid w:val="00557F58"/>
    <w:rsid w:val="005B4D91"/>
    <w:rsid w:val="00631FD3"/>
    <w:rsid w:val="00643F5A"/>
    <w:rsid w:val="00827D37"/>
    <w:rsid w:val="00951B2A"/>
    <w:rsid w:val="00A32594"/>
    <w:rsid w:val="00BD4DDD"/>
    <w:rsid w:val="00C46EA1"/>
    <w:rsid w:val="00D32225"/>
    <w:rsid w:val="00DE7D4C"/>
    <w:rsid w:val="00FA5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705AB"/>
  <w15:chartTrackingRefBased/>
  <w15:docId w15:val="{76D15CA5-4947-42A5-B8BF-C0823644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color w:val="000000" w:themeColor="text1"/>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2225"/>
    <w:rPr>
      <w:color w:val="000000" w:themeColor="text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2831B-68D3-4862-8E5F-66F18DA5A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3</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Taylor</dc:creator>
  <cp:keywords/>
  <dc:description/>
  <cp:lastModifiedBy>James Taylor</cp:lastModifiedBy>
  <cp:revision>6</cp:revision>
  <dcterms:created xsi:type="dcterms:W3CDTF">2019-04-02T06:13:00Z</dcterms:created>
  <dcterms:modified xsi:type="dcterms:W3CDTF">2019-04-03T19:28:00Z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http://www.zotero.org/styles/american-chemical-society</vt:lpwstr>
  </property>
  <property fmtid="{D5CDD505-2E9C-101B-9397-08002B2CF9AE}" pid="3" name="Mendeley Recent Style Name 0_1">
    <vt:lpwstr>American Chemical Society</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a0288d86-81b1-3a6d-b831-0bb46a7f1f76</vt:lpwstr>
  </property>
  <property fmtid="{D5CDD505-2E9C-101B-9397-08002B2CF9AE}" pid="24" name="Mendeley Citation Style_1">
    <vt:lpwstr>http://www.zotero.org/styles/american-chemical-society</vt:lpwstr>
  </property>
</Properties>
</file>