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pPr>
    </w:p>
    <w:p>
      <w:pPr>
        <w:jc w:val="center"/>
      </w:pPr>
      <w:r>
        <w:rPr>
          <w:rFonts w:ascii="Calibri" w:hAnsi="Calibri"/>
          <w:b/>
          <w:color w:val="2D5BFF"/>
          <w:sz w:val="22"/>
        </w:rPr>
        <w:t>TASKFLOW</w:t>
      </w:r>
    </w:p>
    <w:p>
      <w:pPr>
        <w:jc w:val="center"/>
      </w:pPr>
      <w:r>
        <w:rPr>
          <w:rFonts w:ascii="Calibri" w:hAnsi="Calibri"/>
          <w:b/>
          <w:color w:val="12213A"/>
          <w:sz w:val="60"/>
        </w:rPr>
        <w:t>Sequential Operational Manual</w:t>
      </w:r>
    </w:p>
    <w:p>
      <w:pPr>
        <w:jc w:val="center"/>
      </w:pPr>
      <w:r>
        <w:rPr>
          <w:rFonts w:ascii="Calibri" w:hAnsi="Calibri"/>
          <w:color w:val="65738A"/>
          <w:sz w:val="28"/>
        </w:rPr>
        <w:t>A screen-by-screen guide to daily work, planning, administration, reporting, and audit</w:t>
      </w:r>
    </w:p>
    <w:p>
      <w:pPr>
        <w:spacing w:before="1400"/>
      </w:pPr>
    </w:p>
    <w:tbl>
      <w:tblPr>
        <w:tblW w:type="auto" w:w="0"/>
        <w:jc w:val="center"/>
        <w:tblLayout w:type="fixed"/>
        <w:tblLook w:firstColumn="1" w:firstRow="1" w:lastColumn="0" w:lastRow="0" w:noHBand="0" w:noVBand="1" w:val="04A0"/>
      </w:tblPr>
      <w:tblGrid>
        <w:gridCol w:w="4680"/>
        <w:gridCol w:w="4680"/>
      </w:tblGrid>
      <w:tr>
        <w:tc>
          <w:tcPr>
            <w:tcW w:type="dxa" w:w="1944"/>
            <w:shd w:fill="E8EEF5"/>
            <w:vAlign w:val="center"/>
          </w:tcPr>
          <w:p>
            <w:r>
              <w:rPr>
                <w:rFonts w:ascii="Calibri" w:hAnsi="Calibri"/>
                <w:b/>
                <w:color w:val="12213A"/>
                <w:sz w:val="18"/>
              </w:rPr>
              <w:t>Audience</w:t>
            </w:r>
          </w:p>
        </w:tc>
        <w:tc>
          <w:tcPr>
            <w:tcW w:type="dxa" w:w="7416"/>
            <w:vAlign w:val="center"/>
          </w:tcPr>
          <w:p>
            <w:r>
              <w:rPr>
                <w:rFonts w:ascii="Calibri" w:hAnsi="Calibri"/>
                <w:color w:val="12213A"/>
                <w:sz w:val="18"/>
              </w:rPr>
              <w:t>Users, team leads, project managers, administrators</w:t>
            </w:r>
          </w:p>
        </w:tc>
      </w:tr>
      <w:tr>
        <w:tc>
          <w:tcPr>
            <w:tcW w:type="dxa" w:w="1944"/>
            <w:shd w:fill="E8EEF5"/>
            <w:vAlign w:val="center"/>
          </w:tcPr>
          <w:p>
            <w:r>
              <w:rPr>
                <w:rFonts w:ascii="Calibri" w:hAnsi="Calibri"/>
                <w:b/>
                <w:color w:val="12213A"/>
                <w:sz w:val="18"/>
              </w:rPr>
              <w:t>Application</w:t>
            </w:r>
          </w:p>
        </w:tc>
        <w:tc>
          <w:tcPr>
            <w:tcW w:type="dxa" w:w="7416"/>
            <w:vAlign w:val="center"/>
          </w:tcPr>
          <w:p>
            <w:r>
              <w:rPr>
                <w:rFonts w:ascii="Calibri" w:hAnsi="Calibri"/>
                <w:color w:val="12213A"/>
                <w:sz w:val="18"/>
              </w:rPr>
              <w:t>TaskFlow Web and TaskFlow.Api</w:t>
            </w:r>
          </w:p>
        </w:tc>
      </w:tr>
      <w:tr>
        <w:tc>
          <w:tcPr>
            <w:tcW w:type="dxa" w:w="1944"/>
            <w:shd w:fill="E8EEF5"/>
            <w:vAlign w:val="center"/>
          </w:tcPr>
          <w:p>
            <w:r>
              <w:rPr>
                <w:rFonts w:ascii="Calibri" w:hAnsi="Calibri"/>
                <w:b/>
                <w:color w:val="12213A"/>
                <w:sz w:val="18"/>
              </w:rPr>
              <w:t>Edition</w:t>
            </w:r>
          </w:p>
        </w:tc>
        <w:tc>
          <w:tcPr>
            <w:tcW w:type="dxa" w:w="7416"/>
            <w:vAlign w:val="center"/>
          </w:tcPr>
          <w:p>
            <w:r>
              <w:rPr>
                <w:rFonts w:ascii="Calibri" w:hAnsi="Calibri"/>
                <w:color w:val="12213A"/>
                <w:sz w:val="18"/>
              </w:rPr>
              <w:t>1.0 - screenshot edition</w:t>
            </w:r>
          </w:p>
        </w:tc>
      </w:tr>
      <w:tr>
        <w:tc>
          <w:tcPr>
            <w:tcW w:type="dxa" w:w="1944"/>
            <w:shd w:fill="E8EEF5"/>
            <w:vAlign w:val="center"/>
          </w:tcPr>
          <w:p>
            <w:r>
              <w:rPr>
                <w:rFonts w:ascii="Calibri" w:hAnsi="Calibri"/>
                <w:b/>
                <w:color w:val="12213A"/>
                <w:sz w:val="18"/>
              </w:rPr>
              <w:t>Issued</w:t>
            </w:r>
          </w:p>
        </w:tc>
        <w:tc>
          <w:tcPr>
            <w:tcW w:type="dxa" w:w="7416"/>
            <w:vAlign w:val="center"/>
          </w:tcPr>
          <w:p>
            <w:r>
              <w:rPr>
                <w:rFonts w:ascii="Calibri" w:hAnsi="Calibri"/>
                <w:color w:val="12213A"/>
                <w:sz w:val="18"/>
              </w:rPr>
              <w:t>11 August 2026</w:t>
            </w:r>
          </w:p>
        </w:tc>
      </w:tr>
    </w:tbl>
    <w:p>
      <w:r>
        <w:br w:type="page"/>
      </w:r>
    </w:p>
    <w:p>
      <w:pPr>
        <w:pStyle w:val="Heading1"/>
      </w:pPr>
      <w:r>
        <w:t>How to use this manual</w:t>
      </w:r>
    </w:p>
    <w:p>
      <w:r>
        <w:t>Follow the numbered screens in sequence for onboarding. Experienced operators may jump directly to the required screen. Each section identifies the screen purpose, the normal operating procedure, and an operational control.</w:t>
      </w:r>
    </w:p>
    <w:p>
      <w:pPr>
        <w:pStyle w:val="ListBullet"/>
      </w:pPr>
      <w:r>
        <w:t>Screenshots show the implemented application at a desktop viewport.</w:t>
      </w:r>
    </w:p>
    <w:p>
      <w:pPr>
        <w:pStyle w:val="ListBullet"/>
      </w:pPr>
      <w:r>
        <w:t>Displayed records are examples from the current TaskFlow environment.</w:t>
      </w:r>
    </w:p>
    <w:p>
      <w:pPr>
        <w:pStyle w:val="ListBullet"/>
      </w:pPr>
      <w:r>
        <w:t>Available data and actions may vary by account permissions and configuration.</w:t>
      </w:r>
    </w:p>
    <w:p>
      <w:pPr>
        <w:pStyle w:val="ListBullet"/>
      </w:pPr>
      <w:r>
        <w:t>Avoid duplicate submission while a button shows Saving, Posting, Uploading, Loading, or Please wait.</w:t>
      </w:r>
    </w:p>
    <w:p>
      <w:pPr>
        <w:pStyle w:val="Heading2"/>
      </w:pPr>
      <w:r>
        <w:t>Screen sequence</w:t>
      </w:r>
    </w:p>
    <w:p>
      <w:pPr>
        <w:pStyle w:val="ListNumber"/>
      </w:pPr>
      <w:r>
        <w:t>1. Sign in</w:t>
      </w:r>
    </w:p>
    <w:p>
      <w:pPr>
        <w:pStyle w:val="ListNumber"/>
      </w:pPr>
      <w:r>
        <w:t>2. Dashboard</w:t>
      </w:r>
    </w:p>
    <w:p>
      <w:pPr>
        <w:pStyle w:val="ListNumber"/>
      </w:pPr>
      <w:r>
        <w:t>3. My Work</w:t>
      </w:r>
    </w:p>
    <w:p>
      <w:pPr>
        <w:pStyle w:val="ListNumber"/>
      </w:pPr>
      <w:r>
        <w:t>4. Board</w:t>
      </w:r>
    </w:p>
    <w:p>
      <w:pPr>
        <w:pStyle w:val="ListNumber"/>
      </w:pPr>
      <w:r>
        <w:t>5. Backlog</w:t>
      </w:r>
    </w:p>
    <w:p>
      <w:pPr>
        <w:pStyle w:val="ListNumber"/>
      </w:pPr>
      <w:r>
        <w:t>6. Releases</w:t>
      </w:r>
    </w:p>
    <w:p>
      <w:pPr>
        <w:pStyle w:val="ListNumber"/>
      </w:pPr>
      <w:r>
        <w:t>7. Projects</w:t>
      </w:r>
    </w:p>
    <w:p>
      <w:pPr>
        <w:pStyle w:val="ListNumber"/>
      </w:pPr>
      <w:r>
        <w:t>8. Software</w:t>
      </w:r>
    </w:p>
    <w:p>
      <w:pPr>
        <w:pStyle w:val="ListNumber"/>
      </w:pPr>
      <w:r>
        <w:t>9. Teams</w:t>
      </w:r>
    </w:p>
    <w:p>
      <w:pPr>
        <w:pStyle w:val="ListNumber"/>
      </w:pPr>
      <w:r>
        <w:t>10. Departments</w:t>
      </w:r>
    </w:p>
    <w:p>
      <w:pPr>
        <w:pStyle w:val="ListNumber"/>
      </w:pPr>
      <w:r>
        <w:t>11. Vendors</w:t>
      </w:r>
    </w:p>
    <w:p>
      <w:pPr>
        <w:pStyle w:val="ListNumber"/>
      </w:pPr>
      <w:r>
        <w:t>12. Work Item Types</w:t>
      </w:r>
    </w:p>
    <w:p>
      <w:pPr>
        <w:pStyle w:val="ListNumber"/>
      </w:pPr>
      <w:r>
        <w:t>13. Custom Fields</w:t>
      </w:r>
    </w:p>
    <w:p>
      <w:pPr>
        <w:pStyle w:val="ListNumber"/>
      </w:pPr>
      <w:r>
        <w:t>14. Workflows</w:t>
      </w:r>
    </w:p>
    <w:p>
      <w:pPr>
        <w:pStyle w:val="ListNumber"/>
      </w:pPr>
      <w:r>
        <w:t>15. Reports</w:t>
      </w:r>
    </w:p>
    <w:p>
      <w:pPr>
        <w:pStyle w:val="ListNumber"/>
      </w:pPr>
      <w:r>
        <w:t>16. Audit Log</w:t>
      </w:r>
    </w:p>
    <w:p>
      <w:pPr>
        <w:pStyle w:val="ListNumber"/>
      </w:pPr>
      <w:r>
        <w:t>17. Create Account</w:t>
      </w:r>
    </w:p>
    <w:p>
      <w:r>
        <w:br w:type="page"/>
      </w:r>
    </w:p>
    <w:p>
      <w:pPr>
        <w:pStyle w:val="Heading1"/>
      </w:pPr>
      <w:r>
        <w:t>1. Sign in</w:t>
      </w:r>
    </w:p>
    <w:p>
      <w:pPr>
        <w:spacing w:after="160"/>
      </w:pPr>
      <w:r>
        <w:rPr>
          <w:rFonts w:ascii="Calibri" w:hAnsi="Calibri"/>
          <w:b/>
          <w:color w:val="12213A"/>
          <w:sz w:val="21"/>
        </w:rPr>
        <w:t xml:space="preserve">Purpose. </w:t>
      </w:r>
      <w:r>
        <w:rPr>
          <w:rFonts w:ascii="Calibri" w:hAnsi="Calibri"/>
          <w:color w:val="12213A"/>
          <w:sz w:val="21"/>
        </w:rPr>
        <w:t>Access TaskFlow with a registered account.</w:t>
      </w:r>
    </w:p>
    <w:p>
      <w:pPr>
        <w:keepNext/>
        <w:jc w:val="center"/>
      </w:pPr>
      <w:r>
        <w:drawing>
          <wp:inline xmlns:a="http://schemas.openxmlformats.org/drawingml/2006/main" xmlns:pic="http://schemas.openxmlformats.org/drawingml/2006/picture">
            <wp:extent cx="2926080" cy="5503599"/>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2926080" cy="5503599"/>
                    </a:xfrm>
                    <a:prstGeom prst="rect"/>
                  </pic:spPr>
                </pic:pic>
              </a:graphicData>
            </a:graphic>
          </wp:inline>
        </w:drawing>
      </w:r>
    </w:p>
    <w:p>
      <w:pPr>
        <w:pStyle w:val="Caption"/>
        <w:jc w:val="center"/>
      </w:pPr>
      <w:r>
        <w:t>Figure 1. Sign in screen.</w:t>
      </w:r>
    </w:p>
    <w:p>
      <w:pPr>
        <w:pStyle w:val="Heading2"/>
      </w:pPr>
      <w:r>
        <w:t>Operating sequence</w:t>
      </w:r>
    </w:p>
    <w:p>
      <w:pPr>
        <w:pStyle w:val="ListNumber"/>
      </w:pPr>
      <w:r>
        <w:t>Open http://localhost:4200/dashboard.</w:t>
      </w:r>
    </w:p>
    <w:p>
      <w:pPr>
        <w:pStyle w:val="ListNumber"/>
      </w:pPr>
      <w:r>
        <w:t>Enter the registered email address and password.</w:t>
      </w:r>
    </w:p>
    <w:p>
      <w:pPr>
        <w:pStyle w:val="ListNumber"/>
      </w:pPr>
      <w:r>
        <w:t>Select Sign in and wait for the Dashboard.</w:t>
      </w:r>
    </w:p>
    <w:p>
      <w:pPr>
        <w:pStyle w:val="ListNumber"/>
      </w:pPr>
      <w:r>
        <w:t>If access fails, verify credentials or use Forgot password?.</w:t>
      </w:r>
    </w:p>
    <w:p>
      <w:pPr>
        <w:pStyle w:val="ListNumber"/>
      </w:pPr>
      <w:r>
        <w:t>If the API is unavailable, confirm http://localhost:5183/health returns Healthy.</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Security control: Never share passwords or reset tokens. Sign out on shared workstations.</w:t>
            </w:r>
          </w:p>
        </w:tc>
      </w:tr>
    </w:tbl>
    <w:p>
      <w:r>
        <w:br w:type="page"/>
      </w:r>
    </w:p>
    <w:p>
      <w:pPr>
        <w:pStyle w:val="Heading1"/>
      </w:pPr>
      <w:r>
        <w:t>2. Dashboard</w:t>
      </w:r>
    </w:p>
    <w:p>
      <w:pPr>
        <w:spacing w:after="160"/>
      </w:pPr>
      <w:r>
        <w:rPr>
          <w:rFonts w:ascii="Calibri" w:hAnsi="Calibri"/>
          <w:b/>
          <w:color w:val="12213A"/>
          <w:sz w:val="21"/>
        </w:rPr>
        <w:t xml:space="preserve">Purpose. </w:t>
      </w:r>
      <w:r>
        <w:rPr>
          <w:rFonts w:ascii="Calibri" w:hAnsi="Calibri"/>
          <w:color w:val="12213A"/>
          <w:sz w:val="21"/>
        </w:rPr>
        <w:t>Start each shift by reviewing delivery health and attention items.</w:t>
      </w:r>
    </w:p>
    <w:p>
      <w:pPr>
        <w:keepNext/>
        <w:jc w:val="center"/>
      </w:pPr>
      <w:r>
        <w:drawing>
          <wp:inline xmlns:a="http://schemas.openxmlformats.org/drawingml/2006/main" xmlns:pic="http://schemas.openxmlformats.org/drawingml/2006/picture">
            <wp:extent cx="5806440" cy="3630553"/>
            <wp:docPr id="2" name="Picture 2"/>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806440" cy="3630553"/>
                    </a:xfrm>
                    <a:prstGeom prst="rect"/>
                  </pic:spPr>
                </pic:pic>
              </a:graphicData>
            </a:graphic>
          </wp:inline>
        </w:drawing>
      </w:r>
    </w:p>
    <w:p>
      <w:pPr>
        <w:pStyle w:val="Caption"/>
        <w:jc w:val="center"/>
      </w:pPr>
      <w:r>
        <w:t>Figure 2. Dashboard screen.</w:t>
      </w:r>
    </w:p>
    <w:p>
      <w:pPr>
        <w:pStyle w:val="Heading2"/>
      </w:pPr>
      <w:r>
        <w:t>Operating sequence</w:t>
      </w:r>
    </w:p>
    <w:p>
      <w:pPr>
        <w:pStyle w:val="ListNumber"/>
      </w:pPr>
      <w:r>
        <w:t>Review open, due-this-week, overdue, and approval totals.</w:t>
      </w:r>
    </w:p>
    <w:p>
      <w:pPr>
        <w:pStyle w:val="ListNumber"/>
      </w:pPr>
      <w:r>
        <w:t>Scan My work for tasks requiring immediate action.</w:t>
      </w:r>
    </w:p>
    <w:p>
      <w:pPr>
        <w:pStyle w:val="ListNumber"/>
      </w:pPr>
      <w:r>
        <w:t>Use filters and Apply to narrow the dashboard list.</w:t>
      </w:r>
    </w:p>
    <w:p>
      <w:pPr>
        <w:pStyle w:val="ListNumber"/>
      </w:pPr>
      <w:r>
        <w:t>Open an attention-queue item to review its full record.</w:t>
      </w:r>
    </w:p>
    <w:p>
      <w:pPr>
        <w:pStyle w:val="ListNumber"/>
      </w:pPr>
      <w:r>
        <w:t>Select Create task only when a new, non-duplicate work record is required.</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3. My Work</w:t>
      </w:r>
    </w:p>
    <w:p>
      <w:pPr>
        <w:spacing w:after="160"/>
      </w:pPr>
      <w:r>
        <w:rPr>
          <w:rFonts w:ascii="Calibri" w:hAnsi="Calibri"/>
          <w:b/>
          <w:color w:val="12213A"/>
          <w:sz w:val="21"/>
        </w:rPr>
        <w:t xml:space="preserve">Purpose. </w:t>
      </w:r>
      <w:r>
        <w:rPr>
          <w:rFonts w:ascii="Calibri" w:hAnsi="Calibri"/>
          <w:color w:val="12213A"/>
          <w:sz w:val="21"/>
        </w:rPr>
        <w:t>Find, prioritize, open, and manage operational tasks.</w:t>
      </w:r>
    </w:p>
    <w:p>
      <w:pPr>
        <w:keepNext/>
        <w:jc w:val="center"/>
      </w:pPr>
      <w:r>
        <w:drawing>
          <wp:inline xmlns:a="http://schemas.openxmlformats.org/drawingml/2006/main" xmlns:pic="http://schemas.openxmlformats.org/drawingml/2006/picture">
            <wp:extent cx="5806440" cy="3630553"/>
            <wp:docPr id="3" name="Picture 3"/>
            <wp:cNvGraphicFramePr>
              <a:graphicFrameLocks noChangeAspect="1"/>
            </wp:cNvGraphicFramePr>
            <a:graphic>
              <a:graphicData uri="http://schemas.openxmlformats.org/drawingml/2006/picture">
                <pic:pic>
                  <pic:nvPicPr>
                    <pic:cNvPr id="0" name="03-my-work.png"/>
                    <pic:cNvPicPr/>
                  </pic:nvPicPr>
                  <pic:blipFill>
                    <a:blip r:embed="rId13"/>
                    <a:stretch>
                      <a:fillRect/>
                    </a:stretch>
                  </pic:blipFill>
                  <pic:spPr>
                    <a:xfrm>
                      <a:off x="0" y="0"/>
                      <a:ext cx="5806440" cy="3630553"/>
                    </a:xfrm>
                    <a:prstGeom prst="rect"/>
                  </pic:spPr>
                </pic:pic>
              </a:graphicData>
            </a:graphic>
          </wp:inline>
        </w:drawing>
      </w:r>
    </w:p>
    <w:p>
      <w:pPr>
        <w:pStyle w:val="Caption"/>
        <w:jc w:val="center"/>
      </w:pPr>
      <w:r>
        <w:t>Figure 3. My Work screen.</w:t>
      </w:r>
    </w:p>
    <w:p>
      <w:pPr>
        <w:pStyle w:val="Heading2"/>
      </w:pPr>
      <w:r>
        <w:t>Operating sequence</w:t>
      </w:r>
    </w:p>
    <w:p>
      <w:pPr>
        <w:pStyle w:val="ListNumber"/>
      </w:pPr>
      <w:r>
        <w:t>Choose Status, Priority, Project, and Sort filters.</w:t>
      </w:r>
    </w:p>
    <w:p>
      <w:pPr>
        <w:pStyle w:val="ListNumber"/>
      </w:pPr>
      <w:r>
        <w:t>Select Apply; use Clear to restore the full list.</w:t>
      </w:r>
    </w:p>
    <w:p>
      <w:pPr>
        <w:pStyle w:val="ListNumber"/>
      </w:pPr>
      <w:r>
        <w:t>Open a task row to view details, history, comments, attachments, links, and assignments.</w:t>
      </w:r>
    </w:p>
    <w:p>
      <w:pPr>
        <w:pStyle w:val="ListNumber"/>
      </w:pPr>
      <w:r>
        <w:t>Use Create task to record new work.</w:t>
      </w:r>
    </w:p>
    <w:p>
      <w:pPr>
        <w:pStyle w:val="ListNumber"/>
      </w:pPr>
      <w:r>
        <w:t>Use Previous and Next to move between pages when the result set is larger.</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4. Board</w:t>
      </w:r>
    </w:p>
    <w:p>
      <w:pPr>
        <w:spacing w:after="160"/>
      </w:pPr>
      <w:r>
        <w:rPr>
          <w:rFonts w:ascii="Calibri" w:hAnsi="Calibri"/>
          <w:b/>
          <w:color w:val="12213A"/>
          <w:sz w:val="21"/>
        </w:rPr>
        <w:t xml:space="preserve">Purpose. </w:t>
      </w:r>
      <w:r>
        <w:rPr>
          <w:rFonts w:ascii="Calibri" w:hAnsi="Calibri"/>
          <w:color w:val="12213A"/>
          <w:sz w:val="21"/>
        </w:rPr>
        <w:t>Move work through the configured lifecycle.</w:t>
      </w:r>
    </w:p>
    <w:p>
      <w:pPr>
        <w:keepNext/>
        <w:jc w:val="center"/>
      </w:pPr>
      <w:r>
        <w:drawing>
          <wp:inline xmlns:a="http://schemas.openxmlformats.org/drawingml/2006/main" xmlns:pic="http://schemas.openxmlformats.org/drawingml/2006/picture">
            <wp:extent cx="5806440" cy="3630553"/>
            <wp:docPr id="4" name="Picture 4"/>
            <wp:cNvGraphicFramePr>
              <a:graphicFrameLocks noChangeAspect="1"/>
            </wp:cNvGraphicFramePr>
            <a:graphic>
              <a:graphicData uri="http://schemas.openxmlformats.org/drawingml/2006/picture">
                <pic:pic>
                  <pic:nvPicPr>
                    <pic:cNvPr id="0" name="04-board.png"/>
                    <pic:cNvPicPr/>
                  </pic:nvPicPr>
                  <pic:blipFill>
                    <a:blip r:embed="rId14"/>
                    <a:stretch>
                      <a:fillRect/>
                    </a:stretch>
                  </pic:blipFill>
                  <pic:spPr>
                    <a:xfrm>
                      <a:off x="0" y="0"/>
                      <a:ext cx="5806440" cy="3630553"/>
                    </a:xfrm>
                    <a:prstGeom prst="rect"/>
                  </pic:spPr>
                </pic:pic>
              </a:graphicData>
            </a:graphic>
          </wp:inline>
        </w:drawing>
      </w:r>
    </w:p>
    <w:p>
      <w:pPr>
        <w:pStyle w:val="Caption"/>
        <w:jc w:val="center"/>
      </w:pPr>
      <w:r>
        <w:t>Figure 4. Board screen.</w:t>
      </w:r>
    </w:p>
    <w:p>
      <w:pPr>
        <w:pStyle w:val="Heading2"/>
      </w:pPr>
      <w:r>
        <w:t>Operating sequence</w:t>
      </w:r>
    </w:p>
    <w:p>
      <w:pPr>
        <w:pStyle w:val="ListNumber"/>
      </w:pPr>
      <w:r>
        <w:t>Filter by task title/number or project, then select Apply.</w:t>
      </w:r>
    </w:p>
    <w:p>
      <w:pPr>
        <w:pStyle w:val="ListNumber"/>
      </w:pPr>
      <w:r>
        <w:t>Locate the task card in its current status column.</w:t>
      </w:r>
    </w:p>
    <w:p>
      <w:pPr>
        <w:pStyle w:val="ListNumber"/>
      </w:pPr>
      <w:r>
        <w:t>Drag the card to the required destination status.</w:t>
      </w:r>
    </w:p>
    <w:p>
      <w:pPr>
        <w:pStyle w:val="ListNumber"/>
      </w:pPr>
      <w:r>
        <w:t>Confirm the success message and destination placement.</w:t>
      </w:r>
    </w:p>
    <w:p>
      <w:pPr>
        <w:pStyle w:val="ListNumber"/>
      </w:pPr>
      <w:r>
        <w:t>If rejected, use an allowed intermediate transition or contact the workflow administrator.</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Workflow control: Rejected transitions indicate a configuration rule; do not bypass them by changing unrelated fields.</w:t>
            </w:r>
          </w:p>
        </w:tc>
      </w:tr>
    </w:tbl>
    <w:p>
      <w:r>
        <w:br w:type="page"/>
      </w:r>
    </w:p>
    <w:p>
      <w:pPr>
        <w:pStyle w:val="Heading1"/>
      </w:pPr>
      <w:r>
        <w:t>5. Backlog</w:t>
      </w:r>
    </w:p>
    <w:p>
      <w:pPr>
        <w:spacing w:after="160"/>
      </w:pPr>
      <w:r>
        <w:rPr>
          <w:rFonts w:ascii="Calibri" w:hAnsi="Calibri"/>
          <w:b/>
          <w:color w:val="12213A"/>
          <w:sz w:val="21"/>
        </w:rPr>
        <w:t xml:space="preserve">Purpose. </w:t>
      </w:r>
      <w:r>
        <w:rPr>
          <w:rFonts w:ascii="Calibri" w:hAnsi="Calibri"/>
          <w:color w:val="12213A"/>
          <w:sz w:val="21"/>
        </w:rPr>
        <w:t>Plan tasks into sprints and control sprint execution.</w:t>
      </w:r>
    </w:p>
    <w:p>
      <w:pPr>
        <w:keepNext/>
        <w:jc w:val="center"/>
      </w:pPr>
      <w:r>
        <w:drawing>
          <wp:inline xmlns:a="http://schemas.openxmlformats.org/drawingml/2006/main" xmlns:pic="http://schemas.openxmlformats.org/drawingml/2006/picture">
            <wp:extent cx="5806440" cy="3630553"/>
            <wp:docPr id="5" name="Picture 5"/>
            <wp:cNvGraphicFramePr>
              <a:graphicFrameLocks noChangeAspect="1"/>
            </wp:cNvGraphicFramePr>
            <a:graphic>
              <a:graphicData uri="http://schemas.openxmlformats.org/drawingml/2006/picture">
                <pic:pic>
                  <pic:nvPicPr>
                    <pic:cNvPr id="0" name="05-backlog.png"/>
                    <pic:cNvPicPr/>
                  </pic:nvPicPr>
                  <pic:blipFill>
                    <a:blip r:embed="rId15"/>
                    <a:stretch>
                      <a:fillRect/>
                    </a:stretch>
                  </pic:blipFill>
                  <pic:spPr>
                    <a:xfrm>
                      <a:off x="0" y="0"/>
                      <a:ext cx="5806440" cy="3630553"/>
                    </a:xfrm>
                    <a:prstGeom prst="rect"/>
                  </pic:spPr>
                </pic:pic>
              </a:graphicData>
            </a:graphic>
          </wp:inline>
        </w:drawing>
      </w:r>
    </w:p>
    <w:p>
      <w:pPr>
        <w:pStyle w:val="Caption"/>
        <w:jc w:val="center"/>
      </w:pPr>
      <w:r>
        <w:t>Figure 5. Backlog screen.</w:t>
      </w:r>
    </w:p>
    <w:p>
      <w:pPr>
        <w:pStyle w:val="Heading2"/>
      </w:pPr>
      <w:r>
        <w:t>Operating sequence</w:t>
      </w:r>
    </w:p>
    <w:p>
      <w:pPr>
        <w:pStyle w:val="ListNumber"/>
      </w:pPr>
      <w:r>
        <w:t>Select the project to load its sprint plan.</w:t>
      </w:r>
    </w:p>
    <w:p>
      <w:pPr>
        <w:pStyle w:val="ListNumber"/>
      </w:pPr>
      <w:r>
        <w:t>Create a sprint with name, goal, start date, and end date.</w:t>
      </w:r>
    </w:p>
    <w:p>
      <w:pPr>
        <w:pStyle w:val="ListNumber"/>
      </w:pPr>
      <w:r>
        <w:t>Drag unscheduled tasks into a planned or active sprint.</w:t>
      </w:r>
    </w:p>
    <w:p>
      <w:pPr>
        <w:pStyle w:val="ListNumber"/>
      </w:pPr>
      <w:r>
        <w:t>Start a planned sprint only when operating policy permits.</w:t>
      </w:r>
    </w:p>
    <w:p>
      <w:pPr>
        <w:pStyle w:val="ListNumber"/>
      </w:pPr>
      <w:r>
        <w:t>Complete the active sprint after reconciling unfinished work.</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Planning control: Sprint placement represents scope; task status represents execution.</w:t>
            </w:r>
          </w:p>
        </w:tc>
      </w:tr>
    </w:tbl>
    <w:p>
      <w:r>
        <w:br w:type="page"/>
      </w:r>
    </w:p>
    <w:p>
      <w:pPr>
        <w:pStyle w:val="Heading1"/>
      </w:pPr>
      <w:r>
        <w:t>6. Releases</w:t>
      </w:r>
    </w:p>
    <w:p>
      <w:pPr>
        <w:spacing w:after="160"/>
      </w:pPr>
      <w:r>
        <w:rPr>
          <w:rFonts w:ascii="Calibri" w:hAnsi="Calibri"/>
          <w:b/>
          <w:color w:val="12213A"/>
          <w:sz w:val="21"/>
        </w:rPr>
        <w:t xml:space="preserve">Purpose. </w:t>
      </w:r>
      <w:r>
        <w:rPr>
          <w:rFonts w:ascii="Calibri" w:hAnsi="Calibri"/>
          <w:color w:val="12213A"/>
          <w:sz w:val="21"/>
        </w:rPr>
        <w:t>Plan versions/releases and maintain delivery scope.</w:t>
      </w:r>
    </w:p>
    <w:p>
      <w:pPr>
        <w:keepNext/>
        <w:jc w:val="center"/>
      </w:pPr>
      <w:r>
        <w:drawing>
          <wp:inline xmlns:a="http://schemas.openxmlformats.org/drawingml/2006/main" xmlns:pic="http://schemas.openxmlformats.org/drawingml/2006/picture">
            <wp:extent cx="5806440" cy="3630553"/>
            <wp:docPr id="6" name="Picture 6"/>
            <wp:cNvGraphicFramePr>
              <a:graphicFrameLocks noChangeAspect="1"/>
            </wp:cNvGraphicFramePr>
            <a:graphic>
              <a:graphicData uri="http://schemas.openxmlformats.org/drawingml/2006/picture">
                <pic:pic>
                  <pic:nvPicPr>
                    <pic:cNvPr id="0" name="06-releases.png"/>
                    <pic:cNvPicPr/>
                  </pic:nvPicPr>
                  <pic:blipFill>
                    <a:blip r:embed="rId16"/>
                    <a:stretch>
                      <a:fillRect/>
                    </a:stretch>
                  </pic:blipFill>
                  <pic:spPr>
                    <a:xfrm>
                      <a:off x="0" y="0"/>
                      <a:ext cx="5806440" cy="3630553"/>
                    </a:xfrm>
                    <a:prstGeom prst="rect"/>
                  </pic:spPr>
                </pic:pic>
              </a:graphicData>
            </a:graphic>
          </wp:inline>
        </w:drawing>
      </w:r>
    </w:p>
    <w:p>
      <w:pPr>
        <w:pStyle w:val="Caption"/>
        <w:jc w:val="center"/>
      </w:pPr>
      <w:r>
        <w:t>Figure 6. Releases screen.</w:t>
      </w:r>
    </w:p>
    <w:p>
      <w:pPr>
        <w:pStyle w:val="Heading2"/>
      </w:pPr>
      <w:r>
        <w:t>Operating sequence</w:t>
      </w:r>
    </w:p>
    <w:p>
      <w:pPr>
        <w:pStyle w:val="ListNumber"/>
      </w:pPr>
      <w:r>
        <w:t>Select a project to load its releases.</w:t>
      </w:r>
    </w:p>
    <w:p>
      <w:pPr>
        <w:pStyle w:val="ListNumber"/>
      </w:pPr>
      <w:r>
        <w:t>Select Create release and enter the release details.</w:t>
      </w:r>
    </w:p>
    <w:p>
      <w:pPr>
        <w:pStyle w:val="ListNumber"/>
      </w:pPr>
      <w:r>
        <w:t>Open a release to review dates, status, and assigned tasks.</w:t>
      </w:r>
    </w:p>
    <w:p>
      <w:pPr>
        <w:pStyle w:val="ListNumber"/>
      </w:pPr>
      <w:r>
        <w:t>Add or remove tasks as scope changes.</w:t>
      </w:r>
    </w:p>
    <w:p>
      <w:pPr>
        <w:pStyle w:val="ListNumber"/>
      </w:pPr>
      <w:r>
        <w:t>Reconcile scope and outstanding work before completing a release.</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7. Projects</w:t>
      </w:r>
    </w:p>
    <w:p>
      <w:pPr>
        <w:spacing w:after="160"/>
      </w:pPr>
      <w:r>
        <w:rPr>
          <w:rFonts w:ascii="Calibri" w:hAnsi="Calibri"/>
          <w:b/>
          <w:color w:val="12213A"/>
          <w:sz w:val="21"/>
        </w:rPr>
        <w:t xml:space="preserve">Purpose. </w:t>
      </w:r>
      <w:r>
        <w:rPr>
          <w:rFonts w:ascii="Calibri" w:hAnsi="Calibri"/>
          <w:color w:val="12213A"/>
          <w:sz w:val="21"/>
        </w:rPr>
        <w:t>Maintain project identity, ownership, dates, and objectives.</w:t>
      </w:r>
    </w:p>
    <w:p>
      <w:pPr>
        <w:keepNext/>
        <w:jc w:val="center"/>
      </w:pPr>
      <w:r>
        <w:drawing>
          <wp:inline xmlns:a="http://schemas.openxmlformats.org/drawingml/2006/main" xmlns:pic="http://schemas.openxmlformats.org/drawingml/2006/picture">
            <wp:extent cx="5806440" cy="3630553"/>
            <wp:docPr id="7" name="Picture 7"/>
            <wp:cNvGraphicFramePr>
              <a:graphicFrameLocks noChangeAspect="1"/>
            </wp:cNvGraphicFramePr>
            <a:graphic>
              <a:graphicData uri="http://schemas.openxmlformats.org/drawingml/2006/picture">
                <pic:pic>
                  <pic:nvPicPr>
                    <pic:cNvPr id="0" name="07-projects.png"/>
                    <pic:cNvPicPr/>
                  </pic:nvPicPr>
                  <pic:blipFill>
                    <a:blip r:embed="rId17"/>
                    <a:stretch>
                      <a:fillRect/>
                    </a:stretch>
                  </pic:blipFill>
                  <pic:spPr>
                    <a:xfrm>
                      <a:off x="0" y="0"/>
                      <a:ext cx="5806440" cy="3630553"/>
                    </a:xfrm>
                    <a:prstGeom prst="rect"/>
                  </pic:spPr>
                </pic:pic>
              </a:graphicData>
            </a:graphic>
          </wp:inline>
        </w:drawing>
      </w:r>
    </w:p>
    <w:p>
      <w:pPr>
        <w:pStyle w:val="Caption"/>
        <w:jc w:val="center"/>
      </w:pPr>
      <w:r>
        <w:t>Figure 7. Projects screen.</w:t>
      </w:r>
    </w:p>
    <w:p>
      <w:pPr>
        <w:pStyle w:val="Heading2"/>
      </w:pPr>
      <w:r>
        <w:t>Operating sequence</w:t>
      </w:r>
    </w:p>
    <w:p>
      <w:pPr>
        <w:pStyle w:val="ListNumber"/>
      </w:pPr>
      <w:r>
        <w:t>Search or filter the project list before creating a new record.</w:t>
      </w:r>
    </w:p>
    <w:p>
      <w:pPr>
        <w:pStyle w:val="ListNumber"/>
      </w:pPr>
      <w:r>
        <w:t>Select New project and enter a unique name and project key.</w:t>
      </w:r>
    </w:p>
    <w:p>
      <w:pPr>
        <w:pStyle w:val="ListNumber"/>
      </w:pPr>
      <w:r>
        <w:t>Record objectives, dates, manager, sponsor, and linked software.</w:t>
      </w:r>
    </w:p>
    <w:p>
      <w:pPr>
        <w:pStyle w:val="ListNumber"/>
      </w:pPr>
      <w:r>
        <w:t>Open a project row to review details and task count.</w:t>
      </w:r>
    </w:p>
    <w:p>
      <w:pPr>
        <w:pStyle w:val="ListNumber"/>
      </w:pPr>
      <w:r>
        <w:t>Use Edit for maintenance; use Archive only after confirming operational impact.</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8. Software</w:t>
      </w:r>
    </w:p>
    <w:p>
      <w:pPr>
        <w:spacing w:after="160"/>
      </w:pPr>
      <w:r>
        <w:rPr>
          <w:rFonts w:ascii="Calibri" w:hAnsi="Calibri"/>
          <w:b/>
          <w:color w:val="12213A"/>
          <w:sz w:val="21"/>
        </w:rPr>
        <w:t xml:space="preserve">Purpose. </w:t>
      </w:r>
      <w:r>
        <w:rPr>
          <w:rFonts w:ascii="Calibri" w:hAnsi="Calibri"/>
          <w:color w:val="12213A"/>
          <w:sz w:val="21"/>
        </w:rPr>
        <w:t>Maintain the application and service catalog.</w:t>
      </w:r>
    </w:p>
    <w:p>
      <w:pPr>
        <w:keepNext/>
        <w:jc w:val="center"/>
      </w:pPr>
      <w:r>
        <w:drawing>
          <wp:inline xmlns:a="http://schemas.openxmlformats.org/drawingml/2006/main" xmlns:pic="http://schemas.openxmlformats.org/drawingml/2006/picture">
            <wp:extent cx="5806440" cy="3630553"/>
            <wp:docPr id="8" name="Picture 8"/>
            <wp:cNvGraphicFramePr>
              <a:graphicFrameLocks noChangeAspect="1"/>
            </wp:cNvGraphicFramePr>
            <a:graphic>
              <a:graphicData uri="http://schemas.openxmlformats.org/drawingml/2006/picture">
                <pic:pic>
                  <pic:nvPicPr>
                    <pic:cNvPr id="0" name="08-software.png"/>
                    <pic:cNvPicPr/>
                  </pic:nvPicPr>
                  <pic:blipFill>
                    <a:blip r:embed="rId18"/>
                    <a:stretch>
                      <a:fillRect/>
                    </a:stretch>
                  </pic:blipFill>
                  <pic:spPr>
                    <a:xfrm>
                      <a:off x="0" y="0"/>
                      <a:ext cx="5806440" cy="3630553"/>
                    </a:xfrm>
                    <a:prstGeom prst="rect"/>
                  </pic:spPr>
                </pic:pic>
              </a:graphicData>
            </a:graphic>
          </wp:inline>
        </w:drawing>
      </w:r>
    </w:p>
    <w:p>
      <w:pPr>
        <w:pStyle w:val="Caption"/>
        <w:jc w:val="center"/>
      </w:pPr>
      <w:r>
        <w:t>Figure 8. Software screen.</w:t>
      </w:r>
    </w:p>
    <w:p>
      <w:pPr>
        <w:pStyle w:val="Heading2"/>
      </w:pPr>
      <w:r>
        <w:t>Operating sequence</w:t>
      </w:r>
    </w:p>
    <w:p>
      <w:pPr>
        <w:pStyle w:val="ListNumber"/>
      </w:pPr>
      <w:r>
        <w:t>Search for an existing application before selecting New software.</w:t>
      </w:r>
    </w:p>
    <w:p>
      <w:pPr>
        <w:pStyle w:val="ListNumber"/>
      </w:pPr>
      <w:r>
        <w:t>Record technology, current version, and criticality.</w:t>
      </w:r>
    </w:p>
    <w:p>
      <w:pPr>
        <w:pStyle w:val="ListNumber"/>
      </w:pPr>
      <w:r>
        <w:t>Maintain business owner, technical owner, and support team.</w:t>
      </w:r>
    </w:p>
    <w:p>
      <w:pPr>
        <w:pStyle w:val="ListNumber"/>
      </w:pPr>
      <w:r>
        <w:t>Set production and third-party flags accurately.</w:t>
      </w:r>
    </w:p>
    <w:p>
      <w:pPr>
        <w:pStyle w:val="ListNumber"/>
      </w:pPr>
      <w:r>
        <w:t>Review linked projects and open tasks before changing lifecycle information.</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9. Teams</w:t>
      </w:r>
    </w:p>
    <w:p>
      <w:pPr>
        <w:spacing w:after="160"/>
      </w:pPr>
      <w:r>
        <w:rPr>
          <w:rFonts w:ascii="Calibri" w:hAnsi="Calibri"/>
          <w:b/>
          <w:color w:val="12213A"/>
          <w:sz w:val="21"/>
        </w:rPr>
        <w:t xml:space="preserve">Purpose. </w:t>
      </w:r>
      <w:r>
        <w:rPr>
          <w:rFonts w:ascii="Calibri" w:hAnsi="Calibri"/>
          <w:color w:val="12213A"/>
          <w:sz w:val="21"/>
        </w:rPr>
        <w:t>Maintain delivery teams and department association.</w:t>
      </w:r>
    </w:p>
    <w:p>
      <w:pPr>
        <w:keepNext/>
        <w:jc w:val="center"/>
      </w:pPr>
      <w:r>
        <w:drawing>
          <wp:inline xmlns:a="http://schemas.openxmlformats.org/drawingml/2006/main" xmlns:pic="http://schemas.openxmlformats.org/drawingml/2006/picture">
            <wp:extent cx="5806440" cy="3630553"/>
            <wp:docPr id="9" name="Picture 9"/>
            <wp:cNvGraphicFramePr>
              <a:graphicFrameLocks noChangeAspect="1"/>
            </wp:cNvGraphicFramePr>
            <a:graphic>
              <a:graphicData uri="http://schemas.openxmlformats.org/drawingml/2006/picture">
                <pic:pic>
                  <pic:nvPicPr>
                    <pic:cNvPr id="0" name="09-teams.png"/>
                    <pic:cNvPicPr/>
                  </pic:nvPicPr>
                  <pic:blipFill>
                    <a:blip r:embed="rId19"/>
                    <a:stretch>
                      <a:fillRect/>
                    </a:stretch>
                  </pic:blipFill>
                  <pic:spPr>
                    <a:xfrm>
                      <a:off x="0" y="0"/>
                      <a:ext cx="5806440" cy="3630553"/>
                    </a:xfrm>
                    <a:prstGeom prst="rect"/>
                  </pic:spPr>
                </pic:pic>
              </a:graphicData>
            </a:graphic>
          </wp:inline>
        </w:drawing>
      </w:r>
    </w:p>
    <w:p>
      <w:pPr>
        <w:pStyle w:val="Caption"/>
        <w:jc w:val="center"/>
      </w:pPr>
      <w:r>
        <w:t>Figure 9. Teams screen.</w:t>
      </w:r>
    </w:p>
    <w:p>
      <w:pPr>
        <w:pStyle w:val="Heading2"/>
      </w:pPr>
      <w:r>
        <w:t>Operating sequence</w:t>
      </w:r>
    </w:p>
    <w:p>
      <w:pPr>
        <w:pStyle w:val="ListNumber"/>
      </w:pPr>
      <w:r>
        <w:t>Search for the team before creating a duplicate.</w:t>
      </w:r>
    </w:p>
    <w:p>
      <w:pPr>
        <w:pStyle w:val="ListNumber"/>
      </w:pPr>
      <w:r>
        <w:t>Select New team and enter the team name.</w:t>
      </w:r>
    </w:p>
    <w:p>
      <w:pPr>
        <w:pStyle w:val="ListNumber"/>
      </w:pPr>
      <w:r>
        <w:t>Choose the correct department.</w:t>
      </w:r>
    </w:p>
    <w:p>
      <w:pPr>
        <w:pStyle w:val="ListNumber"/>
      </w:pPr>
      <w:r>
        <w:t>Open a team row to review department and assigned-task count.</w:t>
      </w:r>
    </w:p>
    <w:p>
      <w:pPr>
        <w:pStyle w:val="ListNumber"/>
      </w:pPr>
      <w:r>
        <w:t>Use Edit team when ownership or organizational placement changes.</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10. Departments</w:t>
      </w:r>
    </w:p>
    <w:p>
      <w:pPr>
        <w:spacing w:after="160"/>
      </w:pPr>
      <w:r>
        <w:rPr>
          <w:rFonts w:ascii="Calibri" w:hAnsi="Calibri"/>
          <w:b/>
          <w:color w:val="12213A"/>
          <w:sz w:val="21"/>
        </w:rPr>
        <w:t xml:space="preserve">Purpose. </w:t>
      </w:r>
      <w:r>
        <w:rPr>
          <w:rFonts w:ascii="Calibri" w:hAnsi="Calibri"/>
          <w:color w:val="12213A"/>
          <w:sz w:val="21"/>
        </w:rPr>
        <w:t>Maintain organizational departments used across TaskFlow.</w:t>
      </w:r>
    </w:p>
    <w:p>
      <w:pPr>
        <w:keepNext/>
        <w:jc w:val="center"/>
      </w:pPr>
      <w:r>
        <w:drawing>
          <wp:inline xmlns:a="http://schemas.openxmlformats.org/drawingml/2006/main" xmlns:pic="http://schemas.openxmlformats.org/drawingml/2006/picture">
            <wp:extent cx="5806440" cy="3630553"/>
            <wp:docPr id="10" name="Picture 10"/>
            <wp:cNvGraphicFramePr>
              <a:graphicFrameLocks noChangeAspect="1"/>
            </wp:cNvGraphicFramePr>
            <a:graphic>
              <a:graphicData uri="http://schemas.openxmlformats.org/drawingml/2006/picture">
                <pic:pic>
                  <pic:nvPicPr>
                    <pic:cNvPr id="0" name="10-departments.png"/>
                    <pic:cNvPicPr/>
                  </pic:nvPicPr>
                  <pic:blipFill>
                    <a:blip r:embed="rId20"/>
                    <a:stretch>
                      <a:fillRect/>
                    </a:stretch>
                  </pic:blipFill>
                  <pic:spPr>
                    <a:xfrm>
                      <a:off x="0" y="0"/>
                      <a:ext cx="5806440" cy="3630553"/>
                    </a:xfrm>
                    <a:prstGeom prst="rect"/>
                  </pic:spPr>
                </pic:pic>
              </a:graphicData>
            </a:graphic>
          </wp:inline>
        </w:drawing>
      </w:r>
    </w:p>
    <w:p>
      <w:pPr>
        <w:pStyle w:val="Caption"/>
        <w:jc w:val="center"/>
      </w:pPr>
      <w:r>
        <w:t>Figure 10. Departments screen.</w:t>
      </w:r>
    </w:p>
    <w:p>
      <w:pPr>
        <w:pStyle w:val="Heading2"/>
      </w:pPr>
      <w:r>
        <w:t>Operating sequence</w:t>
      </w:r>
    </w:p>
    <w:p>
      <w:pPr>
        <w:pStyle w:val="ListNumber"/>
      </w:pPr>
      <w:r>
        <w:t>Search for an existing department.</w:t>
      </w:r>
    </w:p>
    <w:p>
      <w:pPr>
        <w:pStyle w:val="ListNumber"/>
      </w:pPr>
      <w:r>
        <w:t>Select New department and enter its name and description.</w:t>
      </w:r>
    </w:p>
    <w:p>
      <w:pPr>
        <w:pStyle w:val="ListNumber"/>
      </w:pPr>
      <w:r>
        <w:t>Save and confirm the department appears in the list.</w:t>
      </w:r>
    </w:p>
    <w:p>
      <w:pPr>
        <w:pStyle w:val="ListNumber"/>
      </w:pPr>
      <w:r>
        <w:t>Open the record to review linked teams or operating data.</w:t>
      </w:r>
    </w:p>
    <w:p>
      <w:pPr>
        <w:pStyle w:val="ListNumber"/>
      </w:pPr>
      <w:r>
        <w:t>Edit instead of creating a second record for renamed departments.</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11. Vendors</w:t>
      </w:r>
    </w:p>
    <w:p>
      <w:pPr>
        <w:spacing w:after="160"/>
      </w:pPr>
      <w:r>
        <w:rPr>
          <w:rFonts w:ascii="Calibri" w:hAnsi="Calibri"/>
          <w:b/>
          <w:color w:val="12213A"/>
          <w:sz w:val="21"/>
        </w:rPr>
        <w:t xml:space="preserve">Purpose. </w:t>
      </w:r>
      <w:r>
        <w:rPr>
          <w:rFonts w:ascii="Calibri" w:hAnsi="Calibri"/>
          <w:color w:val="12213A"/>
          <w:sz w:val="21"/>
        </w:rPr>
        <w:t>Maintain external support partners, contracts, and SLA context.</w:t>
      </w:r>
    </w:p>
    <w:p>
      <w:pPr>
        <w:keepNext/>
        <w:jc w:val="center"/>
      </w:pPr>
      <w:r>
        <w:drawing>
          <wp:inline xmlns:a="http://schemas.openxmlformats.org/drawingml/2006/main" xmlns:pic="http://schemas.openxmlformats.org/drawingml/2006/picture">
            <wp:extent cx="5806440" cy="3630553"/>
            <wp:docPr id="11" name="Picture 11"/>
            <wp:cNvGraphicFramePr>
              <a:graphicFrameLocks noChangeAspect="1"/>
            </wp:cNvGraphicFramePr>
            <a:graphic>
              <a:graphicData uri="http://schemas.openxmlformats.org/drawingml/2006/picture">
                <pic:pic>
                  <pic:nvPicPr>
                    <pic:cNvPr id="0" name="11-vendors.png"/>
                    <pic:cNvPicPr/>
                  </pic:nvPicPr>
                  <pic:blipFill>
                    <a:blip r:embed="rId21"/>
                    <a:stretch>
                      <a:fillRect/>
                    </a:stretch>
                  </pic:blipFill>
                  <pic:spPr>
                    <a:xfrm>
                      <a:off x="0" y="0"/>
                      <a:ext cx="5806440" cy="3630553"/>
                    </a:xfrm>
                    <a:prstGeom prst="rect"/>
                  </pic:spPr>
                </pic:pic>
              </a:graphicData>
            </a:graphic>
          </wp:inline>
        </w:drawing>
      </w:r>
    </w:p>
    <w:p>
      <w:pPr>
        <w:pStyle w:val="Caption"/>
        <w:jc w:val="center"/>
      </w:pPr>
      <w:r>
        <w:t>Figure 11. Vendors screen.</w:t>
      </w:r>
    </w:p>
    <w:p>
      <w:pPr>
        <w:pStyle w:val="Heading2"/>
      </w:pPr>
      <w:r>
        <w:t>Operating sequence</w:t>
      </w:r>
    </w:p>
    <w:p>
      <w:pPr>
        <w:pStyle w:val="ListNumber"/>
      </w:pPr>
      <w:r>
        <w:t>Search for an existing vendor.</w:t>
      </w:r>
    </w:p>
    <w:p>
      <w:pPr>
        <w:pStyle w:val="ListNumber"/>
      </w:pPr>
      <w:r>
        <w:t>Select New vendor and enter support email and phone.</w:t>
      </w:r>
    </w:p>
    <w:p>
      <w:pPr>
        <w:pStyle w:val="ListNumber"/>
      </w:pPr>
      <w:r>
        <w:t>Record the contract reference and SLA details.</w:t>
      </w:r>
    </w:p>
    <w:p>
      <w:pPr>
        <w:pStyle w:val="ListNumber"/>
      </w:pPr>
      <w:r>
        <w:t>Save and verify linked application information.</w:t>
      </w:r>
    </w:p>
    <w:p>
      <w:pPr>
        <w:pStyle w:val="ListNumber"/>
      </w:pPr>
      <w:r>
        <w:t>Update support contacts promptly when the vendor changes them.</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12. Work Item Types</w:t>
      </w:r>
    </w:p>
    <w:p>
      <w:pPr>
        <w:spacing w:after="160"/>
      </w:pPr>
      <w:r>
        <w:rPr>
          <w:rFonts w:ascii="Calibri" w:hAnsi="Calibri"/>
          <w:b/>
          <w:color w:val="12213A"/>
          <w:sz w:val="21"/>
        </w:rPr>
        <w:t xml:space="preserve">Purpose. </w:t>
      </w:r>
      <w:r>
        <w:rPr>
          <w:rFonts w:ascii="Calibri" w:hAnsi="Calibri"/>
          <w:color w:val="12213A"/>
          <w:sz w:val="21"/>
        </w:rPr>
        <w:t>Control the classifications available when tasks are created.</w:t>
      </w:r>
    </w:p>
    <w:p>
      <w:pPr>
        <w:keepNext/>
        <w:jc w:val="center"/>
      </w:pPr>
      <w:r>
        <w:drawing>
          <wp:inline xmlns:a="http://schemas.openxmlformats.org/drawingml/2006/main" xmlns:pic="http://schemas.openxmlformats.org/drawingml/2006/picture">
            <wp:extent cx="5806440" cy="3630553"/>
            <wp:docPr id="12" name="Picture 12"/>
            <wp:cNvGraphicFramePr>
              <a:graphicFrameLocks noChangeAspect="1"/>
            </wp:cNvGraphicFramePr>
            <a:graphic>
              <a:graphicData uri="http://schemas.openxmlformats.org/drawingml/2006/picture">
                <pic:pic>
                  <pic:nvPicPr>
                    <pic:cNvPr id="0" name="12-work-item-types.png"/>
                    <pic:cNvPicPr/>
                  </pic:nvPicPr>
                  <pic:blipFill>
                    <a:blip r:embed="rId22"/>
                    <a:stretch>
                      <a:fillRect/>
                    </a:stretch>
                  </pic:blipFill>
                  <pic:spPr>
                    <a:xfrm>
                      <a:off x="0" y="0"/>
                      <a:ext cx="5806440" cy="3630553"/>
                    </a:xfrm>
                    <a:prstGeom prst="rect"/>
                  </pic:spPr>
                </pic:pic>
              </a:graphicData>
            </a:graphic>
          </wp:inline>
        </w:drawing>
      </w:r>
    </w:p>
    <w:p>
      <w:pPr>
        <w:pStyle w:val="Caption"/>
        <w:jc w:val="center"/>
      </w:pPr>
      <w:r>
        <w:t>Figure 12. Work Item Types screen.</w:t>
      </w:r>
    </w:p>
    <w:p>
      <w:pPr>
        <w:pStyle w:val="Heading2"/>
      </w:pPr>
      <w:r>
        <w:t>Operating sequence</w:t>
      </w:r>
    </w:p>
    <w:p>
      <w:pPr>
        <w:pStyle w:val="ListNumber"/>
      </w:pPr>
      <w:r>
        <w:t>Review existing types and usage counts.</w:t>
      </w:r>
    </w:p>
    <w:p>
      <w:pPr>
        <w:pStyle w:val="ListNumber"/>
      </w:pPr>
      <w:r>
        <w:t>Select New type only for a distinct operational classification.</w:t>
      </w:r>
    </w:p>
    <w:p>
      <w:pPr>
        <w:pStyle w:val="ListNumber"/>
      </w:pPr>
      <w:r>
        <w:t>Define the display name, key, description, and active state.</w:t>
      </w:r>
    </w:p>
    <w:p>
      <w:pPr>
        <w:pStyle w:val="ListNumber"/>
      </w:pPr>
      <w:r>
        <w:t>Confirm related custom fields and workflow behavior.</w:t>
      </w:r>
    </w:p>
    <w:p>
      <w:pPr>
        <w:pStyle w:val="ListNumber"/>
      </w:pPr>
      <w:r>
        <w:t>Test the type on a non-critical task before general rollout.</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13. Custom Fields</w:t>
      </w:r>
    </w:p>
    <w:p>
      <w:pPr>
        <w:spacing w:after="160"/>
      </w:pPr>
      <w:r>
        <w:rPr>
          <w:rFonts w:ascii="Calibri" w:hAnsi="Calibri"/>
          <w:b/>
          <w:color w:val="12213A"/>
          <w:sz w:val="21"/>
        </w:rPr>
        <w:t xml:space="preserve">Purpose. </w:t>
      </w:r>
      <w:r>
        <w:rPr>
          <w:rFonts w:ascii="Calibri" w:hAnsi="Calibri"/>
          <w:color w:val="12213A"/>
          <w:sz w:val="21"/>
        </w:rPr>
        <w:t>Extend task data without changing the core task model.</w:t>
      </w:r>
    </w:p>
    <w:p>
      <w:pPr>
        <w:keepNext/>
        <w:jc w:val="center"/>
      </w:pPr>
      <w:r>
        <w:drawing>
          <wp:inline xmlns:a="http://schemas.openxmlformats.org/drawingml/2006/main" xmlns:pic="http://schemas.openxmlformats.org/drawingml/2006/picture">
            <wp:extent cx="5806440" cy="3630553"/>
            <wp:docPr id="13" name="Picture 13"/>
            <wp:cNvGraphicFramePr>
              <a:graphicFrameLocks noChangeAspect="1"/>
            </wp:cNvGraphicFramePr>
            <a:graphic>
              <a:graphicData uri="http://schemas.openxmlformats.org/drawingml/2006/picture">
                <pic:pic>
                  <pic:nvPicPr>
                    <pic:cNvPr id="0" name="13-custom-fields.png"/>
                    <pic:cNvPicPr/>
                  </pic:nvPicPr>
                  <pic:blipFill>
                    <a:blip r:embed="rId23"/>
                    <a:stretch>
                      <a:fillRect/>
                    </a:stretch>
                  </pic:blipFill>
                  <pic:spPr>
                    <a:xfrm>
                      <a:off x="0" y="0"/>
                      <a:ext cx="5806440" cy="3630553"/>
                    </a:xfrm>
                    <a:prstGeom prst="rect"/>
                  </pic:spPr>
                </pic:pic>
              </a:graphicData>
            </a:graphic>
          </wp:inline>
        </w:drawing>
      </w:r>
    </w:p>
    <w:p>
      <w:pPr>
        <w:pStyle w:val="Caption"/>
        <w:jc w:val="center"/>
      </w:pPr>
      <w:r>
        <w:t>Figure 13. Custom Fields screen.</w:t>
      </w:r>
    </w:p>
    <w:p>
      <w:pPr>
        <w:pStyle w:val="Heading2"/>
      </w:pPr>
      <w:r>
        <w:t>Operating sequence</w:t>
      </w:r>
    </w:p>
    <w:p>
      <w:pPr>
        <w:pStyle w:val="ListNumber"/>
      </w:pPr>
      <w:r>
        <w:t>Search existing fields before selecting New field.</w:t>
      </w:r>
    </w:p>
    <w:p>
      <w:pPr>
        <w:pStyle w:val="ListNumber"/>
      </w:pPr>
      <w:r>
        <w:t>Choose the field type and define options/defaults where applicable.</w:t>
      </w:r>
    </w:p>
    <w:p>
      <w:pPr>
        <w:pStyle w:val="ListNumber"/>
      </w:pPr>
      <w:r>
        <w:t>Set required behavior and create/edit visibility carefully.</w:t>
      </w:r>
    </w:p>
    <w:p>
      <w:pPr>
        <w:pStyle w:val="ListNumber"/>
      </w:pPr>
      <w:r>
        <w:t>Associate the field with applicable work item types or screens.</w:t>
      </w:r>
    </w:p>
    <w:p>
      <w:pPr>
        <w:pStyle w:val="ListNumber"/>
      </w:pPr>
      <w:r>
        <w:t>Test validation and historical display before rollout.</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14. Workflows</w:t>
      </w:r>
    </w:p>
    <w:p>
      <w:pPr>
        <w:spacing w:after="160"/>
      </w:pPr>
      <w:r>
        <w:rPr>
          <w:rFonts w:ascii="Calibri" w:hAnsi="Calibri"/>
          <w:b/>
          <w:color w:val="12213A"/>
          <w:sz w:val="21"/>
        </w:rPr>
        <w:t xml:space="preserve">Purpose. </w:t>
      </w:r>
      <w:r>
        <w:rPr>
          <w:rFonts w:ascii="Calibri" w:hAnsi="Calibri"/>
          <w:color w:val="12213A"/>
          <w:sz w:val="21"/>
        </w:rPr>
        <w:t>Configure valid task status transitions.</w:t>
      </w:r>
    </w:p>
    <w:p>
      <w:pPr>
        <w:keepNext/>
        <w:jc w:val="center"/>
      </w:pPr>
      <w:r>
        <w:drawing>
          <wp:inline xmlns:a="http://schemas.openxmlformats.org/drawingml/2006/main" xmlns:pic="http://schemas.openxmlformats.org/drawingml/2006/picture">
            <wp:extent cx="5806440" cy="3630553"/>
            <wp:docPr id="14" name="Picture 14"/>
            <wp:cNvGraphicFramePr>
              <a:graphicFrameLocks noChangeAspect="1"/>
            </wp:cNvGraphicFramePr>
            <a:graphic>
              <a:graphicData uri="http://schemas.openxmlformats.org/drawingml/2006/picture">
                <pic:pic>
                  <pic:nvPicPr>
                    <pic:cNvPr id="0" name="14-workflows.png"/>
                    <pic:cNvPicPr/>
                  </pic:nvPicPr>
                  <pic:blipFill>
                    <a:blip r:embed="rId24"/>
                    <a:stretch>
                      <a:fillRect/>
                    </a:stretch>
                  </pic:blipFill>
                  <pic:spPr>
                    <a:xfrm>
                      <a:off x="0" y="0"/>
                      <a:ext cx="5806440" cy="3630553"/>
                    </a:xfrm>
                    <a:prstGeom prst="rect"/>
                  </pic:spPr>
                </pic:pic>
              </a:graphicData>
            </a:graphic>
          </wp:inline>
        </w:drawing>
      </w:r>
    </w:p>
    <w:p>
      <w:pPr>
        <w:pStyle w:val="Caption"/>
        <w:jc w:val="center"/>
      </w:pPr>
      <w:r>
        <w:t>Figure 14. Workflows screen.</w:t>
      </w:r>
    </w:p>
    <w:p>
      <w:pPr>
        <w:pStyle w:val="Heading2"/>
      </w:pPr>
      <w:r>
        <w:t>Operating sequence</w:t>
      </w:r>
    </w:p>
    <w:p>
      <w:pPr>
        <w:pStyle w:val="ListNumber"/>
      </w:pPr>
      <w:r>
        <w:t>Select the workflow context and review its name.</w:t>
      </w:r>
    </w:p>
    <w:p>
      <w:pPr>
        <w:pStyle w:val="ListNumber"/>
      </w:pPr>
      <w:r>
        <w:t>Review every From status, To status, and label.</w:t>
      </w:r>
    </w:p>
    <w:p>
      <w:pPr>
        <w:pStyle w:val="ListNumber"/>
      </w:pPr>
      <w:r>
        <w:t>Add only transitions required by the operating process.</w:t>
      </w:r>
    </w:p>
    <w:p>
      <w:pPr>
        <w:pStyle w:val="ListNumber"/>
      </w:pPr>
      <w:r>
        <w:t>Remove invalid or duplicate transitions cautiously.</w:t>
      </w:r>
    </w:p>
    <w:p>
      <w:pPr>
        <w:pStyle w:val="ListNumber"/>
      </w:pPr>
      <w:r>
        <w:t>Select Save workflow and test the change on the Board.</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Change control: Test configuration changes on non-critical work before production use.</w:t>
            </w:r>
          </w:p>
        </w:tc>
      </w:tr>
    </w:tbl>
    <w:p>
      <w:r>
        <w:br w:type="page"/>
      </w:r>
    </w:p>
    <w:p>
      <w:pPr>
        <w:pStyle w:val="Heading1"/>
      </w:pPr>
      <w:r>
        <w:t>15. Reports</w:t>
      </w:r>
    </w:p>
    <w:p>
      <w:pPr>
        <w:spacing w:after="160"/>
      </w:pPr>
      <w:r>
        <w:rPr>
          <w:rFonts w:ascii="Calibri" w:hAnsi="Calibri"/>
          <w:b/>
          <w:color w:val="12213A"/>
          <w:sz w:val="21"/>
        </w:rPr>
        <w:t xml:space="preserve">Purpose. </w:t>
      </w:r>
      <w:r>
        <w:rPr>
          <w:rFonts w:ascii="Calibri" w:hAnsi="Calibri"/>
          <w:color w:val="12213A"/>
          <w:sz w:val="21"/>
        </w:rPr>
        <w:t>Review current workload and delivery-health indicators.</w:t>
      </w:r>
    </w:p>
    <w:p>
      <w:pPr>
        <w:keepNext/>
        <w:jc w:val="center"/>
      </w:pPr>
      <w:r>
        <w:drawing>
          <wp:inline xmlns:a="http://schemas.openxmlformats.org/drawingml/2006/main" xmlns:pic="http://schemas.openxmlformats.org/drawingml/2006/picture">
            <wp:extent cx="5806440" cy="3630553"/>
            <wp:docPr id="15" name="Picture 15"/>
            <wp:cNvGraphicFramePr>
              <a:graphicFrameLocks noChangeAspect="1"/>
            </wp:cNvGraphicFramePr>
            <a:graphic>
              <a:graphicData uri="http://schemas.openxmlformats.org/drawingml/2006/picture">
                <pic:pic>
                  <pic:nvPicPr>
                    <pic:cNvPr id="0" name="15-reports.png"/>
                    <pic:cNvPicPr/>
                  </pic:nvPicPr>
                  <pic:blipFill>
                    <a:blip r:embed="rId25"/>
                    <a:stretch>
                      <a:fillRect/>
                    </a:stretch>
                  </pic:blipFill>
                  <pic:spPr>
                    <a:xfrm>
                      <a:off x="0" y="0"/>
                      <a:ext cx="5806440" cy="3630553"/>
                    </a:xfrm>
                    <a:prstGeom prst="rect"/>
                  </pic:spPr>
                </pic:pic>
              </a:graphicData>
            </a:graphic>
          </wp:inline>
        </w:drawing>
      </w:r>
    </w:p>
    <w:p>
      <w:pPr>
        <w:pStyle w:val="Caption"/>
        <w:jc w:val="center"/>
      </w:pPr>
      <w:r>
        <w:t>Figure 15. Reports screen.</w:t>
      </w:r>
    </w:p>
    <w:p>
      <w:pPr>
        <w:pStyle w:val="Heading2"/>
      </w:pPr>
      <w:r>
        <w:t>Operating sequence</w:t>
      </w:r>
    </w:p>
    <w:p>
      <w:pPr>
        <w:pStyle w:val="ListNumber"/>
      </w:pPr>
      <w:r>
        <w:t>Review open, due-this-week, overdue, and project totals.</w:t>
      </w:r>
    </w:p>
    <w:p>
      <w:pPr>
        <w:pStyle w:val="ListNumber"/>
      </w:pPr>
      <w:r>
        <w:t>Use task distribution to identify accumulating statuses.</w:t>
      </w:r>
    </w:p>
    <w:p>
      <w:pPr>
        <w:pStyle w:val="ListNumber"/>
      </w:pPr>
      <w:r>
        <w:t>Open the Dashboard or source task list for investigation.</w:t>
      </w:r>
    </w:p>
    <w:p>
      <w:pPr>
        <w:pStyle w:val="ListNumber"/>
      </w:pPr>
      <w:r>
        <w:t>Validate filters and data freshness before sharing results.</w:t>
      </w:r>
    </w:p>
    <w:p>
      <w:pPr>
        <w:pStyle w:val="ListNumber"/>
      </w:pPr>
      <w:r>
        <w:t>Treat figures as a current operational snapshot unless formally archived.</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16. Audit Log</w:t>
      </w:r>
    </w:p>
    <w:p>
      <w:pPr>
        <w:spacing w:after="160"/>
      </w:pPr>
      <w:r>
        <w:rPr>
          <w:rFonts w:ascii="Calibri" w:hAnsi="Calibri"/>
          <w:b/>
          <w:color w:val="12213A"/>
          <w:sz w:val="21"/>
        </w:rPr>
        <w:t xml:space="preserve">Purpose. </w:t>
      </w:r>
      <w:r>
        <w:rPr>
          <w:rFonts w:ascii="Calibri" w:hAnsi="Calibri"/>
          <w:color w:val="12213A"/>
          <w:sz w:val="21"/>
        </w:rPr>
        <w:t>Trace authenticated changes across operational records.</w:t>
      </w:r>
    </w:p>
    <w:p>
      <w:pPr>
        <w:keepNext/>
        <w:jc w:val="center"/>
      </w:pPr>
      <w:r>
        <w:drawing>
          <wp:inline xmlns:a="http://schemas.openxmlformats.org/drawingml/2006/main" xmlns:pic="http://schemas.openxmlformats.org/drawingml/2006/picture">
            <wp:extent cx="5806440" cy="3630553"/>
            <wp:docPr id="16" name="Picture 16"/>
            <wp:cNvGraphicFramePr>
              <a:graphicFrameLocks noChangeAspect="1"/>
            </wp:cNvGraphicFramePr>
            <a:graphic>
              <a:graphicData uri="http://schemas.openxmlformats.org/drawingml/2006/picture">
                <pic:pic>
                  <pic:nvPicPr>
                    <pic:cNvPr id="0" name="16-audit-log.png"/>
                    <pic:cNvPicPr/>
                  </pic:nvPicPr>
                  <pic:blipFill>
                    <a:blip r:embed="rId26"/>
                    <a:stretch>
                      <a:fillRect/>
                    </a:stretch>
                  </pic:blipFill>
                  <pic:spPr>
                    <a:xfrm>
                      <a:off x="0" y="0"/>
                      <a:ext cx="5806440" cy="3630553"/>
                    </a:xfrm>
                    <a:prstGeom prst="rect"/>
                  </pic:spPr>
                </pic:pic>
              </a:graphicData>
            </a:graphic>
          </wp:inline>
        </w:drawing>
      </w:r>
    </w:p>
    <w:p>
      <w:pPr>
        <w:pStyle w:val="Caption"/>
        <w:jc w:val="center"/>
      </w:pPr>
      <w:r>
        <w:t>Figure 16. Audit Log screen.</w:t>
      </w:r>
    </w:p>
    <w:p>
      <w:pPr>
        <w:pStyle w:val="Heading2"/>
      </w:pPr>
      <w:r>
        <w:t>Operating sequence</w:t>
      </w:r>
    </w:p>
    <w:p>
      <w:pPr>
        <w:pStyle w:val="ListNumber"/>
      </w:pPr>
      <w:r>
        <w:t>Enter a focused search term such as entity, action, actor, or identifier.</w:t>
      </w:r>
    </w:p>
    <w:p>
      <w:pPr>
        <w:pStyle w:val="ListNumber"/>
      </w:pPr>
      <w:r>
        <w:t>Review timestamp, entity, action, and actor reference.</w:t>
      </w:r>
    </w:p>
    <w:p>
      <w:pPr>
        <w:pStyle w:val="ListNumber"/>
      </w:pPr>
      <w:r>
        <w:t>Correlate the event with task history, comments, or project details.</w:t>
      </w:r>
    </w:p>
    <w:p>
      <w:pPr>
        <w:pStyle w:val="ListNumber"/>
      </w:pPr>
      <w:r>
        <w:t>Capture relevant evidence before escalation.</w:t>
      </w:r>
    </w:p>
    <w:p>
      <w:pPr>
        <w:pStyle w:val="ListNumber"/>
      </w:pPr>
      <w:r>
        <w:t>Report unexplained changes according to security and access-control policy.</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Operational control: Confirm the saved result or refreshed screen before moving to the next activity.</w:t>
            </w:r>
          </w:p>
        </w:tc>
      </w:tr>
    </w:tbl>
    <w:p>
      <w:r>
        <w:br w:type="page"/>
      </w:r>
    </w:p>
    <w:p>
      <w:pPr>
        <w:pStyle w:val="Heading1"/>
      </w:pPr>
      <w:r>
        <w:t>17. Create Account</w:t>
      </w:r>
    </w:p>
    <w:p>
      <w:pPr>
        <w:spacing w:after="160"/>
      </w:pPr>
      <w:r>
        <w:rPr>
          <w:rFonts w:ascii="Calibri" w:hAnsi="Calibri"/>
          <w:b/>
          <w:color w:val="12213A"/>
          <w:sz w:val="21"/>
        </w:rPr>
        <w:t xml:space="preserve">Purpose. </w:t>
      </w:r>
      <w:r>
        <w:rPr>
          <w:rFonts w:ascii="Calibri" w:hAnsi="Calibri"/>
          <w:color w:val="12213A"/>
          <w:sz w:val="21"/>
        </w:rPr>
        <w:t>Provision a TaskFlow account for an authorized user.</w:t>
      </w:r>
    </w:p>
    <w:p>
      <w:pPr>
        <w:keepNext/>
        <w:jc w:val="center"/>
      </w:pPr>
      <w:r>
        <w:drawing>
          <wp:inline xmlns:a="http://schemas.openxmlformats.org/drawingml/2006/main" xmlns:pic="http://schemas.openxmlformats.org/drawingml/2006/picture">
            <wp:extent cx="5806440" cy="3630553"/>
            <wp:docPr id="17" name="Picture 17"/>
            <wp:cNvGraphicFramePr>
              <a:graphicFrameLocks noChangeAspect="1"/>
            </wp:cNvGraphicFramePr>
            <a:graphic>
              <a:graphicData uri="http://schemas.openxmlformats.org/drawingml/2006/picture">
                <pic:pic>
                  <pic:nvPicPr>
                    <pic:cNvPr id="0" name="17-create-account.png"/>
                    <pic:cNvPicPr/>
                  </pic:nvPicPr>
                  <pic:blipFill>
                    <a:blip r:embed="rId27"/>
                    <a:stretch>
                      <a:fillRect/>
                    </a:stretch>
                  </pic:blipFill>
                  <pic:spPr>
                    <a:xfrm>
                      <a:off x="0" y="0"/>
                      <a:ext cx="5806440" cy="3630553"/>
                    </a:xfrm>
                    <a:prstGeom prst="rect"/>
                  </pic:spPr>
                </pic:pic>
              </a:graphicData>
            </a:graphic>
          </wp:inline>
        </w:drawing>
      </w:r>
    </w:p>
    <w:p>
      <w:pPr>
        <w:pStyle w:val="Caption"/>
        <w:jc w:val="center"/>
      </w:pPr>
      <w:r>
        <w:t>Figure 17. Create Account screen.</w:t>
      </w:r>
    </w:p>
    <w:p>
      <w:pPr>
        <w:pStyle w:val="Heading2"/>
      </w:pPr>
      <w:r>
        <w:t>Operating sequence</w:t>
      </w:r>
    </w:p>
    <w:p>
      <w:pPr>
        <w:pStyle w:val="ListNumber"/>
      </w:pPr>
      <w:r>
        <w:t>Confirm approval to create the account.</w:t>
      </w:r>
    </w:p>
    <w:p>
      <w:pPr>
        <w:pStyle w:val="ListNumber"/>
      </w:pPr>
      <w:r>
        <w:t>Enter display name and a unique business email address.</w:t>
      </w:r>
    </w:p>
    <w:p>
      <w:pPr>
        <w:pStyle w:val="ListNumber"/>
      </w:pPr>
      <w:r>
        <w:t>Enter a compliant password and matching confirmation.</w:t>
      </w:r>
    </w:p>
    <w:p>
      <w:pPr>
        <w:pStyle w:val="ListNumber"/>
      </w:pPr>
      <w:r>
        <w:t>Select Create account and confirm success.</w:t>
      </w:r>
    </w:p>
    <w:p>
      <w:pPr>
        <w:pStyle w:val="ListNumber"/>
      </w:pPr>
      <w:r>
        <w:t>Communicate access through an approved secure channel; never place credentials in task comments.</w:t>
      </w:r>
    </w:p>
    <w:tbl>
      <w:tblPr>
        <w:tblW w:type="auto" w:w="0"/>
        <w:jc w:val="center"/>
        <w:tblLayout w:type="fixed"/>
        <w:tblLook w:firstColumn="1" w:firstRow="1" w:lastColumn="0" w:lastRow="0" w:noHBand="0" w:noVBand="1" w:val="04A0"/>
      </w:tblPr>
      <w:tblGrid>
        <w:gridCol w:w="9360"/>
      </w:tblGrid>
      <w:tr>
        <w:tc>
          <w:tcPr>
            <w:tcW w:type="dxa" w:w="9360"/>
            <w:shd w:fill="F4F6F9"/>
          </w:tcPr>
          <w:p>
            <w:r>
              <w:rPr>
                <w:rFonts w:ascii="Calibri" w:hAnsi="Calibri"/>
                <w:b/>
                <w:color w:val="12213A"/>
                <w:sz w:val="19"/>
              </w:rPr>
              <w:t>Access control: Create accounts only after authorization and use secure credential delivery.</w:t>
            </w:r>
          </w:p>
        </w:tc>
      </w:tr>
    </w:tbl>
    <w:p>
      <w:r>
        <w:br w:type="page"/>
      </w:r>
    </w:p>
    <w:p>
      <w:pPr>
        <w:pStyle w:val="Heading1"/>
      </w:pPr>
      <w:r>
        <w:t>Quick troubleshooting</w:t>
      </w:r>
    </w:p>
    <w:p>
      <w:r>
        <w:rPr>
          <w:rFonts w:ascii="Calibri" w:hAnsi="Calibri"/>
          <w:b/>
          <w:color w:val="12213A"/>
          <w:sz w:val="21"/>
        </w:rPr>
        <w:t xml:space="preserve">API unavailable or server error. </w:t>
      </w:r>
      <w:r>
        <w:rPr>
          <w:rFonts w:ascii="Calibri" w:hAnsi="Calibri"/>
          <w:color w:val="12213A"/>
          <w:sz w:val="21"/>
        </w:rPr>
        <w:t>Check http://localhost:5183/health, start or restart TaskFlow.Api, and review server logs.</w:t>
      </w:r>
    </w:p>
    <w:p>
      <w:r>
        <w:rPr>
          <w:rFonts w:ascii="Calibri" w:hAnsi="Calibri"/>
          <w:b/>
          <w:color w:val="12213A"/>
          <w:sz w:val="21"/>
        </w:rPr>
        <w:t xml:space="preserve">Sign-in failed. </w:t>
      </w:r>
      <w:r>
        <w:rPr>
          <w:rFonts w:ascii="Calibri" w:hAnsi="Calibri"/>
          <w:color w:val="12213A"/>
          <w:sz w:val="21"/>
        </w:rPr>
        <w:t>Verify credentials, account status, and password reset options.</w:t>
      </w:r>
    </w:p>
    <w:p>
      <w:r>
        <w:rPr>
          <w:rFonts w:ascii="Calibri" w:hAnsi="Calibri"/>
          <w:b/>
          <w:color w:val="12213A"/>
          <w:sz w:val="21"/>
        </w:rPr>
        <w:t xml:space="preserve">Session expired. </w:t>
      </w:r>
      <w:r>
        <w:rPr>
          <w:rFonts w:ascii="Calibri" w:hAnsi="Calibri"/>
          <w:color w:val="12213A"/>
          <w:sz w:val="21"/>
        </w:rPr>
        <w:t>Sign in again and repeat any unsaved operation.</w:t>
      </w:r>
    </w:p>
    <w:p>
      <w:r>
        <w:rPr>
          <w:rFonts w:ascii="Calibri" w:hAnsi="Calibri"/>
          <w:b/>
          <w:color w:val="12213A"/>
          <w:sz w:val="21"/>
        </w:rPr>
        <w:t xml:space="preserve">Screen does not load. </w:t>
      </w:r>
      <w:r>
        <w:rPr>
          <w:rFonts w:ascii="Calibri" w:hAnsi="Calibri"/>
          <w:color w:val="12213A"/>
          <w:sz w:val="21"/>
        </w:rPr>
        <w:t>Refresh once, check API/database connectivity, and record the visible error.</w:t>
      </w:r>
    </w:p>
    <w:p>
      <w:r>
        <w:rPr>
          <w:rFonts w:ascii="Calibri" w:hAnsi="Calibri"/>
          <w:b/>
          <w:color w:val="12213A"/>
          <w:sz w:val="21"/>
        </w:rPr>
        <w:t xml:space="preserve">Board movement rejected. </w:t>
      </w:r>
      <w:r>
        <w:rPr>
          <w:rFonts w:ascii="Calibri" w:hAnsi="Calibri"/>
          <w:color w:val="12213A"/>
          <w:sz w:val="21"/>
        </w:rPr>
        <w:t>Review the configured workflow and use an allowed transition.</w:t>
      </w:r>
    </w:p>
    <w:p>
      <w:r>
        <w:rPr>
          <w:rFonts w:ascii="Calibri" w:hAnsi="Calibri"/>
          <w:b/>
          <w:color w:val="12213A"/>
          <w:sz w:val="21"/>
        </w:rPr>
        <w:t xml:space="preserve">No matching records. </w:t>
      </w:r>
      <w:r>
        <w:rPr>
          <w:rFonts w:ascii="Calibri" w:hAnsi="Calibri"/>
          <w:color w:val="12213A"/>
          <w:sz w:val="21"/>
        </w:rPr>
        <w:t>Clear filters, verify selected project/context, and refresh.</w:t>
      </w:r>
    </w:p>
    <w:p>
      <w:r>
        <w:rPr>
          <w:rFonts w:ascii="Calibri" w:hAnsi="Calibri"/>
          <w:b/>
          <w:color w:val="12213A"/>
          <w:sz w:val="21"/>
        </w:rPr>
        <w:t xml:space="preserve">Save remains busy. </w:t>
      </w:r>
      <w:r>
        <w:rPr>
          <w:rFonts w:ascii="Calibri" w:hAnsi="Calibri"/>
          <w:color w:val="12213A"/>
          <w:sz w:val="21"/>
        </w:rPr>
        <w:t>Wait; do not submit twice. Check network/API health if the state persists.</w:t>
      </w:r>
    </w:p>
    <w:p>
      <w:pPr>
        <w:pStyle w:val="Heading2"/>
      </w:pPr>
      <w:r>
        <w:t>Evidence to capture for support</w:t>
      </w:r>
    </w:p>
    <w:p>
      <w:pPr>
        <w:pStyle w:val="ListBullet"/>
      </w:pPr>
      <w:r>
        <w:t>Date/time and account</w:t>
      </w:r>
    </w:p>
    <w:p>
      <w:pPr>
        <w:pStyle w:val="ListBullet"/>
      </w:pPr>
      <w:r>
        <w:t>Screen and URL</w:t>
      </w:r>
    </w:p>
    <w:p>
      <w:pPr>
        <w:pStyle w:val="ListBullet"/>
      </w:pPr>
      <w:r>
        <w:t>Exact action and visible message</w:t>
      </w:r>
    </w:p>
    <w:p>
      <w:pPr>
        <w:pStyle w:val="ListBullet"/>
      </w:pPr>
      <w:r>
        <w:t>Task/project identifier</w:t>
      </w:r>
    </w:p>
    <w:p>
      <w:pPr>
        <w:pStyle w:val="ListBullet"/>
      </w:pPr>
      <w:r>
        <w:t>API health result</w:t>
      </w:r>
    </w:p>
    <w:p>
      <w:pPr>
        <w:pStyle w:val="ListBullet"/>
      </w:pPr>
      <w:r>
        <w:t>Relevant server log excerpt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38A"/>
        <w:sz w:val="16"/>
      </w:rPr>
      <w:t xml:space="preserve">Internal operational reference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5738A"/>
        <w:sz w:val="16"/>
      </w:rPr>
      <w:t>TASKFLOW  |  SCREEN-BY-SCREEN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2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D5BF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D5B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573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6573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Sequential Operational Manual</dc:title>
  <dc:subject>Screen-by-screen TaskFlow operating procedures</dc:subject>
  <dc:creator>TaskFlow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