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TraceSetu project brief</w:t>
      </w:r>
    </w:p>
    <w:p>
      <w:pPr>
        <w:pStyle w:val="Subtitle"/>
      </w:pPr>
      <w:r>
        <w:t>ANANTHA   /   Smart India Hackathon 2026</w:t>
      </w:r>
    </w:p>
    <w:p>
      <w:r>
        <w:t>TraceSetu helps cybercrime investigators examine an unknown cryptocurrency wallet, follow its transfers and assess the first receiving exchange or custodian supported by evidence. We built a working local prototype for officers and independent reviewers.</w:t>
      </w:r>
    </w:p>
    <w:p>
      <w:pPr>
        <w:pStyle w:val="Heading1"/>
      </w:pPr>
      <w:r>
        <w:t>The problem</w:t>
      </w:r>
    </w:p>
    <w:p>
      <w:r>
        <w:t>Automated Attribution of Unknown Cryptocurrency Wallets to Nearest Virtual Asset Service Providers (VASPs) through Blockchain Intelligence APIs.</w:t>
      </w:r>
    </w:p>
    <w:p>
      <w:r>
        <w:t>The MHA / I4C problem asks how an officer can identify the correct VASP for a lawful information or freezing request when funds pass through intermediary wallets. Manual tracing and uncertain ownership labels delay that decision.</w:t>
      </w:r>
    </w:p>
    <w:p>
      <w:pPr>
        <w:pStyle w:val="Heading1"/>
      </w:pPr>
      <w:r>
        <w:t>Our solution</w:t>
      </w:r>
    </w:p>
    <w:p>
      <w:r>
        <w:t>An officer enters the wallet, blockchain, time window and query budget. TraceSetu acquires transaction history, preserves source evidence and follows chronological paths to the first supported custodian on each branch. The workspace shows the graph, evidence grade, risk reasons and unresolved gaps. Officers can run a follow-up query, export a report and verify a signed evidence bundle. Request preparation requires a verified recipient and independent review.</w:t>
      </w:r>
    </w:p>
    <w:p>
      <w:pPr>
        <w:pStyle w:val="Heading1"/>
      </w:pPr>
      <w:r>
        <w:t>What distinguishes TraceSetu</w:t>
      </w:r>
    </w:p>
    <w:p>
      <w:r>
        <w:t>The nearestness certificate shows which missing evidence could change the answer. Investigators can challenge a source and recompute without losing the earlier result. A budgeted query planner directs the next acquisition, while reviewed service feedback preserves the source of each claim. These mechanisms have fixture tests. Comparative accuracy and time savings still need field evaluation.</w:t>
      </w:r>
    </w:p>
    <w:p>
      <w:pPr>
        <w:pStyle w:val="Heading1"/>
      </w:pPr>
      <w:r>
        <w:t>Technology used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c>
          <w:tcPr>
            <w:tcW w:type="dxa" w:w="2376"/>
            <w:vAlign w:val="center"/>
            <w:tcMar>
              <w:top w:w="65" w:type="dxa"/>
              <w:bottom w:w="65" w:type="dxa"/>
              <w:left w:w="95" w:type="dxa"/>
              <w:right w:w="95" w:type="dxa"/>
            </w:tcMar>
            <w:shd w:fill="E9EDF1"/>
          </w:tcPr>
          <w:p>
            <w:pPr>
              <w:spacing w:after="0" w:line="240" w:lineRule="auto"/>
            </w:pPr>
            <w:r>
              <w:rPr>
                <w:b/>
                <w:sz w:val="21"/>
              </w:rPr>
              <w:t>Component</w:t>
            </w:r>
          </w:p>
        </w:tc>
        <w:tc>
          <w:tcPr>
            <w:tcW w:type="dxa" w:w="7848"/>
            <w:vAlign w:val="center"/>
            <w:tcMar>
              <w:top w:w="65" w:type="dxa"/>
              <w:bottom w:w="65" w:type="dxa"/>
              <w:left w:w="95" w:type="dxa"/>
              <w:right w:w="95" w:type="dxa"/>
            </w:tcMar>
            <w:shd w:fill="E9EDF1"/>
          </w:tcPr>
          <w:p>
            <w:pPr>
              <w:spacing w:after="0" w:line="240" w:lineRule="auto"/>
            </w:pPr>
            <w:r>
              <w:rPr>
                <w:b/>
                <w:sz w:val="21"/>
              </w:rPr>
              <w:t>Implemented technology</w:t>
            </w:r>
          </w:p>
        </w:tc>
      </w:tr>
      <w:tr>
        <w:tc>
          <w:tcPr>
            <w:tcW w:type="dxa" w:w="2376"/>
            <w:vAlign w:val="center"/>
            <w:tcMar>
              <w:top w:w="65" w:type="dxa"/>
              <w:bottom w:w="65" w:type="dxa"/>
              <w:left w:w="95" w:type="dxa"/>
              <w:right w:w="95" w:type="dxa"/>
            </w:tcMar>
            <w:shd w:fill="FFFFFF"/>
          </w:tcPr>
          <w:p>
            <w:pPr>
              <w:spacing w:after="0" w:line="240" w:lineRule="auto"/>
            </w:pPr>
            <w:r>
              <w:rPr>
                <w:b w:val="0"/>
                <w:sz w:val="21"/>
              </w:rPr>
              <w:t>Interface and graph</w:t>
            </w:r>
          </w:p>
        </w:tc>
        <w:tc>
          <w:tcPr>
            <w:tcW w:type="dxa" w:w="7848"/>
            <w:vAlign w:val="center"/>
            <w:tcMar>
              <w:top w:w="65" w:type="dxa"/>
              <w:bottom w:w="65" w:type="dxa"/>
              <w:left w:w="95" w:type="dxa"/>
              <w:right w:w="95" w:type="dxa"/>
            </w:tcMar>
            <w:shd w:fill="FFFFFF"/>
          </w:tcPr>
          <w:p>
            <w:pPr>
              <w:spacing w:after="0" w:line="240" w:lineRule="auto"/>
            </w:pPr>
            <w:r>
              <w:rPr>
                <w:b w:val="0"/>
                <w:sz w:val="21"/>
              </w:rPr>
              <w:t>React, TypeScript, Vite and Cytoscape.js</w:t>
            </w:r>
          </w:p>
        </w:tc>
      </w:tr>
      <w:tr>
        <w:tc>
          <w:tcPr>
            <w:tcW w:type="dxa" w:w="2376"/>
            <w:vAlign w:val="center"/>
            <w:tcMar>
              <w:top w:w="65" w:type="dxa"/>
              <w:bottom w:w="65" w:type="dxa"/>
              <w:left w:w="95" w:type="dxa"/>
              <w:right w:w="95" w:type="dxa"/>
            </w:tcMar>
            <w:shd w:fill="FFFFFF"/>
          </w:tcPr>
          <w:p>
            <w:pPr>
              <w:spacing w:after="0" w:line="240" w:lineRule="auto"/>
            </w:pPr>
            <w:r>
              <w:rPr>
                <w:b w:val="0"/>
                <w:sz w:val="21"/>
              </w:rPr>
              <w:t>Backend and tracing</w:t>
            </w:r>
          </w:p>
        </w:tc>
        <w:tc>
          <w:tcPr>
            <w:tcW w:type="dxa" w:w="7848"/>
            <w:vAlign w:val="center"/>
            <w:tcMar>
              <w:top w:w="65" w:type="dxa"/>
              <w:bottom w:w="65" w:type="dxa"/>
              <w:left w:w="95" w:type="dxa"/>
              <w:right w:w="95" w:type="dxa"/>
            </w:tcMar>
            <w:shd w:fill="FFFFFF"/>
          </w:tcPr>
          <w:p>
            <w:pPr>
              <w:spacing w:after="0" w:line="240" w:lineRule="auto"/>
            </w:pPr>
            <w:r>
              <w:rPr>
                <w:b w:val="0"/>
                <w:sz w:val="21"/>
              </w:rPr>
              <w:t>Python, FastAPI and a local worker with deterministic graph rules</w:t>
            </w:r>
          </w:p>
        </w:tc>
      </w:tr>
      <w:tr>
        <w:tc>
          <w:tcPr>
            <w:tcW w:type="dxa" w:w="2376"/>
            <w:vAlign w:val="center"/>
            <w:tcMar>
              <w:top w:w="65" w:type="dxa"/>
              <w:bottom w:w="65" w:type="dxa"/>
              <w:left w:w="95" w:type="dxa"/>
              <w:right w:w="95" w:type="dxa"/>
            </w:tcMar>
            <w:shd w:fill="FFFFFF"/>
          </w:tcPr>
          <w:p>
            <w:pPr>
              <w:spacing w:after="0" w:line="240" w:lineRule="auto"/>
            </w:pPr>
            <w:r>
              <w:rPr>
                <w:b w:val="0"/>
                <w:sz w:val="21"/>
              </w:rPr>
              <w:t>Storage and evidence</w:t>
            </w:r>
          </w:p>
        </w:tc>
        <w:tc>
          <w:tcPr>
            <w:tcW w:type="dxa" w:w="7848"/>
            <w:vAlign w:val="center"/>
            <w:tcMar>
              <w:top w:w="65" w:type="dxa"/>
              <w:bottom w:w="65" w:type="dxa"/>
              <w:left w:w="95" w:type="dxa"/>
              <w:right w:w="95" w:type="dxa"/>
            </w:tcMar>
            <w:shd w:fill="FFFFFF"/>
          </w:tcPr>
          <w:p>
            <w:pPr>
              <w:spacing w:after="0" w:line="240" w:lineRule="auto"/>
            </w:pPr>
            <w:r>
              <w:rPr>
                <w:b w:val="0"/>
                <w:sz w:val="21"/>
              </w:rPr>
              <w:t>SQLAlchemy, SQLite WAL, local files and SHA-256 hashes</w:t>
            </w:r>
          </w:p>
        </w:tc>
      </w:tr>
      <w:tr>
        <w:tc>
          <w:tcPr>
            <w:tcW w:type="dxa" w:w="2376"/>
            <w:vAlign w:val="center"/>
            <w:tcMar>
              <w:top w:w="65" w:type="dxa"/>
              <w:bottom w:w="65" w:type="dxa"/>
              <w:left w:w="95" w:type="dxa"/>
              <w:right w:w="95" w:type="dxa"/>
            </w:tcMar>
            <w:shd w:fill="FFFFFF"/>
          </w:tcPr>
          <w:p>
            <w:pPr>
              <w:spacing w:after="0" w:line="240" w:lineRule="auto"/>
            </w:pPr>
            <w:r>
              <w:rPr>
                <w:b w:val="0"/>
                <w:sz w:val="21"/>
              </w:rPr>
              <w:t>Data connectors</w:t>
            </w:r>
          </w:p>
        </w:tc>
        <w:tc>
          <w:tcPr>
            <w:tcW w:type="dxa" w:w="7848"/>
            <w:vAlign w:val="center"/>
            <w:tcMar>
              <w:top w:w="65" w:type="dxa"/>
              <w:bottom w:w="65" w:type="dxa"/>
              <w:left w:w="95" w:type="dxa"/>
              <w:right w:w="95" w:type="dxa"/>
            </w:tcMar>
            <w:shd w:fill="FFFFFF"/>
          </w:tcPr>
          <w:p>
            <w:pPr>
              <w:spacing w:after="0" w:line="240" w:lineRule="auto"/>
            </w:pPr>
            <w:r>
              <w:rPr>
                <w:b w:val="0"/>
                <w:sz w:val="21"/>
              </w:rPr>
              <w:t>Esplora / BlockCypher, Etherscan V2, TronGrid and Solana RPC</w:t>
            </w:r>
          </w:p>
        </w:tc>
      </w:tr>
      <w:tr>
        <w:tc>
          <w:tcPr>
            <w:tcW w:type="dxa" w:w="2376"/>
            <w:vAlign w:val="center"/>
            <w:tcMar>
              <w:top w:w="65" w:type="dxa"/>
              <w:bottom w:w="65" w:type="dxa"/>
              <w:left w:w="95" w:type="dxa"/>
              <w:right w:w="95" w:type="dxa"/>
            </w:tcMar>
            <w:shd w:fill="FFFFFF"/>
          </w:tcPr>
          <w:p>
            <w:pPr>
              <w:spacing w:after="0" w:line="240" w:lineRule="auto"/>
            </w:pPr>
            <w:r>
              <w:rPr>
                <w:b w:val="0"/>
                <w:sz w:val="21"/>
              </w:rPr>
              <w:t>Reports and verification</w:t>
            </w:r>
          </w:p>
        </w:tc>
        <w:tc>
          <w:tcPr>
            <w:tcW w:type="dxa" w:w="7848"/>
            <w:vAlign w:val="center"/>
            <w:tcMar>
              <w:top w:w="65" w:type="dxa"/>
              <w:bottom w:w="65" w:type="dxa"/>
              <w:left w:w="95" w:type="dxa"/>
              <w:right w:w="95" w:type="dxa"/>
            </w:tcMar>
            <w:shd w:fill="FFFFFF"/>
          </w:tcPr>
          <w:p>
            <w:pPr>
              <w:spacing w:after="0" w:line="240" w:lineRule="auto"/>
            </w:pPr>
            <w:r>
              <w:rPr>
                <w:b w:val="0"/>
                <w:sz w:val="21"/>
              </w:rPr>
              <w:t>ReportLab PDFs and Ed25519-signed ZIP manifests with replay</w:t>
            </w:r>
          </w:p>
        </w:tc>
      </w:tr>
    </w:tbl>
    <w:p>
      <w:pPr>
        <w:pStyle w:val="Heading1"/>
      </w:pPr>
      <w:r>
        <w:t>What we have verified</w:t>
      </w:r>
    </w:p>
    <w:p>
      <w:r>
        <w:t>116 backend tests passed on 25 September 2026. A real WannaCry address documented by CERT-In produced two transactions and three outputs through live Bitcoin acquisition. Signed evidence integrity and replay passed. The receiving VASP remained unknown. The 2 minute 40 second video demonstrates this result.</w:t>
      </w:r>
    </w:p>
    <w:p>
      <w:pPr>
        <w:pStyle w:val="Heading1"/>
      </w:pPr>
      <w:r>
        <w:t>Current limits</w:t>
      </w:r>
    </w:p>
    <w:p>
      <w:r>
        <w:t>Adapters exist for Bitcoin, Ethereum, Tron, BNB Chain, Solana and Polygon. Broad live validation and ownership data remain incomplete. CCTP verification has synthetic tests only. Official SAHYOG access and production deployment are pending. TraceSetu has sent no real notice and frozen no assets.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50" w:lineRule="auto"/>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100" w:line="250"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5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line="250" w:lineRule="auto"/>
    </w:pPr>
    <w:rPr>
      <w:rFonts w:asciiTheme="majorHAnsi" w:eastAsiaTheme="majorEastAsia" w:hAnsiTheme="majorHAnsi" w:cstheme="majorBidi" w:ascii="Arial" w:hAnsi="Arial"/>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TraceSetu project brief</dc:title>
  <dc:subject>SIH problem, implemented solution, technology and verification limits</dc:subject>
  <dc:creator>ANANTHA</dc:creator>
  <cp:keywords/>
  <dc:description>generated by python-docx</dc:description>
  <cp:lastModifiedBy>ANANTHA</cp:lastModifiedBy>
  <cp:revision>1</cp:revision>
  <dcterms:created xsi:type="dcterms:W3CDTF">2013-12-23T23:15:00Z</dcterms:created>
  <dcterms:modified xsi:type="dcterms:W3CDTF">2013-12-23T23:15:00Z</dcterms:modified>
  <cp:category/>
</cp:coreProperties>
</file>