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TraceSetu explained for the team</w:t>
      </w:r>
    </w:p>
    <w:p>
      <w:r>
        <w:t>TraceSetu will help cybercrime officers follow cryptocurrency transfers, identify a receiving service through evidence, and prepare the right official request. “Setu” means bridge.</w:t>
      </w:r>
    </w:p>
    <w:p>
      <w:pPr>
        <w:pStyle w:val="Heading1"/>
      </w:pPr>
      <w:r>
        <w:t>The basic terms</w:t>
      </w:r>
    </w:p>
    <w:p>
      <w:r>
        <w:rPr>
          <w:b/>
        </w:rPr>
        <w:t xml:space="preserve">Cryptocurrency and wallet address. </w:t>
      </w:r>
      <w:r>
        <w:t>Cryptocurrency is a digital asset, such as Bitcoin. A wallet address is a receiving code, a little like an account reference. It usually does not reveal the owner’s name.</w:t>
      </w:r>
    </w:p>
    <w:p>
      <w:r>
        <w:rPr>
          <w:b/>
        </w:rPr>
        <w:t xml:space="preserve">Blockchain. </w:t>
      </w:r>
      <w:r>
        <w:t>A shared transaction record. On public networks, we can inspect transfers between addresses, but customer identity records usually sit elsewhere.</w:t>
      </w:r>
    </w:p>
    <w:p>
      <w:r>
        <w:rPr>
          <w:b/>
        </w:rPr>
        <w:t xml:space="preserve">VASP. </w:t>
      </w:r>
      <w:r>
        <w:t>Virtual Asset Service Provider: a company offering services such as exchanging or holding cryptocurrency. It may keep customer records that officers can lawfully request. Other wallets are controlled directly by individuals.</w:t>
      </w:r>
    </w:p>
    <w:p>
      <w:r>
        <w:rPr>
          <w:b/>
        </w:rPr>
        <w:t xml:space="preserve">SAHYOG and APIs. </w:t>
      </w:r>
      <w:r>
        <w:t>SAHYOG is the portal described in the problem for officers to contact service providers. An API lets software systems exchange data automatically.</w:t>
      </w:r>
    </w:p>
    <w:p>
      <w:pPr>
        <w:pStyle w:val="Heading1"/>
      </w:pPr>
      <w:r>
        <w:t>The problem we are solving</w:t>
      </w:r>
    </w:p>
    <w:p>
      <w:r>
        <w:t>An officer investigating a scam may find a wallet address but not know which company to contact. Funds can pass through several wallets or different blockchain networks. Manual checking takes time. The Ministry of Home Affairs / I4C challenge is to identify the relevant receiving service with evidence.</w:t>
      </w:r>
    </w:p>
    <w:p>
      <w:pPr>
        <w:pStyle w:val="Heading1"/>
      </w:pPr>
      <w:r>
        <w:t>A simple example</w:t>
      </w:r>
    </w:p>
    <w:p>
      <w:r>
        <w:t>Illustrative example: a reported wallet sends crypto to B, which sends it to an address reliably linked to Exchange X. TraceSetu would show why X is a possible recipient for the officer’s request. B’s unknown owner stays unknown. “Nearest” refers to transfer steps. Unrelated exchange withdrawals cannot establish the same person’s trail.</w:t>
      </w:r>
    </w:p>
    <w:p>
      <w:pPr>
        <w:pStyle w:val="Heading1"/>
      </w:pPr>
      <w:r>
        <w:t>How the full planned solution will work</w:t>
      </w:r>
    </w:p>
    <w:p>
      <w:r>
        <w:rPr>
          <w:b/>
        </w:rPr>
        <w:t xml:space="preserve">1. Start a case. </w:t>
      </w:r>
      <w:r>
        <w:t>An authorised officer enters the wallet, network and dates. The planned SAHYOG connection could supply these automatically. Case access is restricted.</w:t>
      </w:r>
    </w:p>
    <w:p>
      <w:r>
        <w:rPr>
          <w:b/>
        </w:rPr>
        <w:t xml:space="preserve">2. Collect the records. </w:t>
      </w:r>
      <w:r>
        <w:t>APIs fetch transfers and available ownership labels. We preserve sources and exact amounts, keeping observed transfers separate from ownership claims.</w:t>
      </w:r>
    </w:p>
    <w:p>
      <w:r>
        <w:rPr>
          <w:b/>
        </w:rPr>
        <w:t xml:space="preserve">3. Follow each trail. </w:t>
      </w:r>
      <w:r>
        <w:t>TraceSetu checks transfer order and looks for the first supported exchange or custodian, meaning a company holding crypto for customers. Missing history or ownership evidence stays visible.</w:t>
      </w:r>
    </w:p>
    <w:p>
      <w:r>
        <w:rPr>
          <w:b/>
        </w:rPr>
        <w:t xml:space="preserve">4. Explain the result. </w:t>
      </w:r>
      <w:r>
        <w:t>Show the transfer map, possible services, evidence and gaps. Suggest a useful next search within the officer’s limit on data requests.</w:t>
      </w:r>
    </w:p>
    <w:p>
      <w:r>
        <w:rPr>
          <w:b/>
        </w:rPr>
        <w:t xml:space="preserve">5. Review and act. </w:t>
      </w:r>
      <w:r>
        <w:t>Prepare a report and request for a verified recipient. Another authorised person reviews it. Approved SAHYOG access would enable delivery and reply tracking. Any freezing action belongs to the responsible service or authority.</w:t>
      </w:r>
    </w:p>
    <w:p>
      <w:r>
        <w:br w:type="page"/>
      </w:r>
    </w:p>
    <w:p>
      <w:pPr>
        <w:pStyle w:val="Heading1"/>
      </w:pPr>
      <w:r>
        <w:t>What makes our approach different</w:t>
      </w:r>
    </w:p>
    <w:p>
      <w:r>
        <w:t>Our focus is explaining how dependable an answer is and what to check next.</w:t>
      </w:r>
    </w:p>
    <w:p>
      <w:r>
        <w:rPr>
          <w:b/>
        </w:rPr>
        <w:t xml:space="preserve">Explain “nearest”. </w:t>
      </w:r>
      <w:r>
        <w:t>The nearestness certificate summarises the search and missing evidence that could reveal an earlier service. It is a technical explanation, not an official certificate or guarantee.</w:t>
      </w:r>
    </w:p>
    <w:p>
      <w:r>
        <w:rPr>
          <w:b/>
        </w:rPr>
        <w:t xml:space="preserve">Question an answer. </w:t>
      </w:r>
      <w:r>
        <w:t>Temporarily remove a disputed source and see whether the conclusion still holds. Keep the original result so reviewers can compare.</w:t>
      </w:r>
    </w:p>
    <w:p>
      <w:r>
        <w:rPr>
          <w:b/>
        </w:rPr>
        <w:t xml:space="preserve">Use the next query carefully. </w:t>
      </w:r>
      <w:r>
        <w:t>Prioritise useful missing evidence, reuse permitted saved data and cap requests. These choices aim to reduce wasted work and provider costs.</w:t>
      </w:r>
    </w:p>
    <w:p>
      <w:r>
        <w:rPr>
          <w:b/>
        </w:rPr>
        <w:t xml:space="preserve">Preserve and improve the evidence. </w:t>
      </w:r>
      <w:r>
        <w:t>Keep earlier results and files another reviewer can check. Reviewed service replies can improve later analysis. Unchanged files alone do not prove ownership claims.</w:t>
      </w:r>
    </w:p>
    <w:p>
      <w:pPr>
        <w:pStyle w:val="Heading1"/>
      </w:pPr>
      <w:r>
        <w:t>What else belongs in the full product</w:t>
      </w:r>
    </w:p>
    <w:p>
      <w:r>
        <w:t>The plan covers six networks: Bitcoin, Ethereum, Tron, BNB Chain, Solana and Polygon. Reliable labels would distinguish customer deposit addresses, exchange wallets and other services.</w:t>
      </w:r>
    </w:p>
    <w:p>
      <w:r>
        <w:t>A bridge moves value between networks. A mixer combines transfers to make tracing harder. We would identify supported services and follow cross-network links only where evidence supports the connection. Otherwise, the trail remains unresolved. Risk alerts would show their sources and reasons. An alert is a lead, and an unknown owner does not mean low risk.</w:t>
      </w:r>
    </w:p>
    <w:p>
      <w:r>
        <w:t>The agency version would watch selected wallets, handle many cases, protect private records, control approvals and keep backups and an audit history. Reliable ownership data and official access agreements are essential.</w:t>
      </w:r>
    </w:p>
    <w:p>
      <w:pPr>
        <w:pStyle w:val="Heading1"/>
      </w:pPr>
      <w:r>
        <w:t>The technology in plain language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c>
          <w:tcPr>
            <w:tcW w:type="dxa" w:w="1944"/>
            <w:vAlign w:val="center"/>
            <w:tcMar>
              <w:top w:w="65" w:type="dxa"/>
              <w:bottom w:w="65" w:type="dxa"/>
              <w:left w:w="95" w:type="dxa"/>
              <w:right w:w="95" w:type="dxa"/>
            </w:tcMar>
            <w:shd w:fill="E9EDF1"/>
          </w:tcPr>
          <w:p>
            <w:pPr>
              <w:spacing w:after="0" w:line="240" w:lineRule="auto"/>
            </w:pPr>
            <w:r>
              <w:rPr>
                <w:b/>
                <w:sz w:val="21"/>
              </w:rPr>
              <w:t>Job</w:t>
            </w:r>
          </w:p>
        </w:tc>
        <w:tc>
          <w:tcPr>
            <w:tcW w:type="dxa" w:w="8280"/>
            <w:vAlign w:val="center"/>
            <w:tcMar>
              <w:top w:w="65" w:type="dxa"/>
              <w:bottom w:w="65" w:type="dxa"/>
              <w:left w:w="95" w:type="dxa"/>
              <w:right w:w="95" w:type="dxa"/>
            </w:tcMar>
            <w:shd w:fill="E9EDF1"/>
          </w:tcPr>
          <w:p>
            <w:pPr>
              <w:spacing w:after="0" w:line="240" w:lineRule="auto"/>
            </w:pPr>
            <w:r>
              <w:rPr>
                <w:b/>
                <w:sz w:val="21"/>
              </w:rPr>
              <w:t>Tools and purpose</w:t>
            </w:r>
          </w:p>
        </w:tc>
      </w:tr>
      <w:tr>
        <w:tc>
          <w:tcPr>
            <w:tcW w:type="dxa" w:w="1944"/>
            <w:vAlign w:val="center"/>
            <w:tcMar>
              <w:top w:w="65" w:type="dxa"/>
              <w:bottom w:w="65" w:type="dxa"/>
              <w:left w:w="95" w:type="dxa"/>
              <w:right w:w="95" w:type="dxa"/>
            </w:tcMar>
            <w:shd w:fill="FFFFFF"/>
          </w:tcPr>
          <w:p>
            <w:pPr>
              <w:spacing w:after="0" w:line="240" w:lineRule="auto"/>
            </w:pPr>
            <w:r>
              <w:rPr>
                <w:b w:val="0"/>
                <w:sz w:val="21"/>
              </w:rPr>
              <w:t>Officer screens</w:t>
            </w:r>
          </w:p>
        </w:tc>
        <w:tc>
          <w:tcPr>
            <w:tcW w:type="dxa" w:w="8280"/>
            <w:vAlign w:val="center"/>
            <w:tcMar>
              <w:top w:w="65" w:type="dxa"/>
              <w:bottom w:w="65" w:type="dxa"/>
              <w:left w:w="95" w:type="dxa"/>
              <w:right w:w="95" w:type="dxa"/>
            </w:tcMar>
            <w:shd w:fill="FFFFFF"/>
          </w:tcPr>
          <w:p>
            <w:pPr>
              <w:spacing w:after="0" w:line="240" w:lineRule="auto"/>
            </w:pPr>
            <w:r>
              <w:rPr>
                <w:b w:val="0"/>
                <w:sz w:val="21"/>
              </w:rPr>
              <w:t>React and TypeScript build the interface. Cytoscape.js draws the transfer map.</w:t>
            </w:r>
          </w:p>
        </w:tc>
      </w:tr>
      <w:tr>
        <w:tc>
          <w:tcPr>
            <w:tcW w:type="dxa" w:w="1944"/>
            <w:vAlign w:val="center"/>
            <w:tcMar>
              <w:top w:w="65" w:type="dxa"/>
              <w:bottom w:w="65" w:type="dxa"/>
              <w:left w:w="95" w:type="dxa"/>
              <w:right w:w="95" w:type="dxa"/>
            </w:tcMar>
            <w:shd w:fill="FFFFFF"/>
          </w:tcPr>
          <w:p>
            <w:pPr>
              <w:spacing w:after="0" w:line="240" w:lineRule="auto"/>
            </w:pPr>
            <w:r>
              <w:rPr>
                <w:b w:val="0"/>
                <w:sz w:val="21"/>
              </w:rPr>
              <w:t>Processing</w:t>
            </w:r>
          </w:p>
        </w:tc>
        <w:tc>
          <w:tcPr>
            <w:tcW w:type="dxa" w:w="8280"/>
            <w:vAlign w:val="center"/>
            <w:tcMar>
              <w:top w:w="65" w:type="dxa"/>
              <w:bottom w:w="65" w:type="dxa"/>
              <w:left w:w="95" w:type="dxa"/>
              <w:right w:w="95" w:type="dxa"/>
            </w:tcMar>
            <w:shd w:fill="FFFFFF"/>
          </w:tcPr>
          <w:p>
            <w:pPr>
              <w:spacing w:after="0" w:line="240" w:lineRule="auto"/>
            </w:pPr>
            <w:r>
              <w:rPr>
                <w:b w:val="0"/>
                <w:sz w:val="21"/>
              </w:rPr>
              <w:t>Python and FastAPI handle requests and tracing rules. External APIs supply data.</w:t>
            </w:r>
          </w:p>
        </w:tc>
      </w:tr>
      <w:tr>
        <w:tc>
          <w:tcPr>
            <w:tcW w:type="dxa" w:w="1944"/>
            <w:vAlign w:val="center"/>
            <w:tcMar>
              <w:top w:w="65" w:type="dxa"/>
              <w:bottom w:w="65" w:type="dxa"/>
              <w:left w:w="95" w:type="dxa"/>
              <w:right w:w="95" w:type="dxa"/>
            </w:tcMar>
            <w:shd w:fill="FFFFFF"/>
          </w:tcPr>
          <w:p>
            <w:pPr>
              <w:spacing w:after="0" w:line="240" w:lineRule="auto"/>
            </w:pPr>
            <w:r>
              <w:rPr>
                <w:b w:val="0"/>
                <w:sz w:val="21"/>
              </w:rPr>
              <w:t>Case storage</w:t>
            </w:r>
          </w:p>
        </w:tc>
        <w:tc>
          <w:tcPr>
            <w:tcW w:type="dxa" w:w="8280"/>
            <w:vAlign w:val="center"/>
            <w:tcMar>
              <w:top w:w="65" w:type="dxa"/>
              <w:bottom w:w="65" w:type="dxa"/>
              <w:left w:w="95" w:type="dxa"/>
              <w:right w:w="95" w:type="dxa"/>
            </w:tcMar>
            <w:shd w:fill="FFFFFF"/>
          </w:tcPr>
          <w:p>
            <w:pPr>
              <w:spacing w:after="0" w:line="240" w:lineRule="auto"/>
            </w:pPr>
            <w:r>
              <w:rPr>
                <w:b w:val="0"/>
                <w:sz w:val="21"/>
              </w:rPr>
              <w:t>SQLite serves the prototype. PostgreSQL is planned for larger agency use.</w:t>
            </w:r>
          </w:p>
        </w:tc>
      </w:tr>
      <w:tr>
        <w:tc>
          <w:tcPr>
            <w:tcW w:type="dxa" w:w="1944"/>
            <w:vAlign w:val="center"/>
            <w:tcMar>
              <w:top w:w="65" w:type="dxa"/>
              <w:bottom w:w="65" w:type="dxa"/>
              <w:left w:w="95" w:type="dxa"/>
              <w:right w:w="95" w:type="dxa"/>
            </w:tcMar>
            <w:shd w:fill="FFFFFF"/>
          </w:tcPr>
          <w:p>
            <w:pPr>
              <w:spacing w:after="0" w:line="240" w:lineRule="auto"/>
            </w:pPr>
            <w:r>
              <w:rPr>
                <w:b w:val="0"/>
                <w:sz w:val="21"/>
              </w:rPr>
              <w:t>Reports and evidence</w:t>
            </w:r>
          </w:p>
        </w:tc>
        <w:tc>
          <w:tcPr>
            <w:tcW w:type="dxa" w:w="8280"/>
            <w:vAlign w:val="center"/>
            <w:tcMar>
              <w:top w:w="65" w:type="dxa"/>
              <w:bottom w:w="65" w:type="dxa"/>
              <w:left w:w="95" w:type="dxa"/>
              <w:right w:w="95" w:type="dxa"/>
            </w:tcMar>
            <w:shd w:fill="FFFFFF"/>
          </w:tcPr>
          <w:p>
            <w:pPr>
              <w:spacing w:after="0" w:line="240" w:lineRule="auto"/>
            </w:pPr>
            <w:r>
              <w:rPr>
                <w:b w:val="0"/>
                <w:sz w:val="21"/>
              </w:rPr>
              <w:t>ReportLab creates PDFs. File fingerprints and digital signatures help detect changes.</w:t>
            </w:r>
          </w:p>
        </w:tc>
      </w:tr>
      <w:tr>
        <w:tc>
          <w:tcPr>
            <w:tcW w:type="dxa" w:w="1944"/>
            <w:vAlign w:val="center"/>
            <w:tcMar>
              <w:top w:w="65" w:type="dxa"/>
              <w:bottom w:w="65" w:type="dxa"/>
              <w:left w:w="95" w:type="dxa"/>
              <w:right w:w="95" w:type="dxa"/>
            </w:tcMar>
            <w:shd w:fill="FFFFFF"/>
          </w:tcPr>
          <w:p>
            <w:pPr>
              <w:spacing w:after="0" w:line="240" w:lineRule="auto"/>
            </w:pPr>
            <w:r>
              <w:rPr>
                <w:b w:val="0"/>
                <w:sz w:val="21"/>
              </w:rPr>
              <w:t>Larger deployment</w:t>
            </w:r>
          </w:p>
        </w:tc>
        <w:tc>
          <w:tcPr>
            <w:tcW w:type="dxa" w:w="8280"/>
            <w:vAlign w:val="center"/>
            <w:tcMar>
              <w:top w:w="65" w:type="dxa"/>
              <w:bottom w:w="65" w:type="dxa"/>
              <w:left w:w="95" w:type="dxa"/>
              <w:right w:w="95" w:type="dxa"/>
            </w:tcMar>
            <w:shd w:fill="FFFFFF"/>
          </w:tcPr>
          <w:p>
            <w:pPr>
              <w:spacing w:after="0" w:line="240" w:lineRule="auto"/>
            </w:pPr>
            <w:r>
              <w:rPr>
                <w:b w:val="0"/>
                <w:sz w:val="21"/>
              </w:rPr>
              <w:t>Planned job scheduling and encrypted file storage keep work recoverable and evidence protected. A graph database is optional if scale tests justify it.</w:t>
            </w:r>
          </w:p>
        </w:tc>
      </w:tr>
    </w:tbl>
    <w:p>
      <w:pPr>
        <w:pStyle w:val="Heading1"/>
      </w:pPr>
      <w:r>
        <w:t>What works now and what remains planned</w:t>
      </w:r>
    </w:p>
    <w:p>
      <w:r>
        <w:t>The prototype demonstrates cases, tracing, evidence review and verified exports. Our real WannaCry Bitcoin walkthrough retrieved transfers but found no supported receiving VASP. Other scenarios use labelled test data. Broader live validation, reliable ownership labels, agency security and SAHYOG integration remain pending. We have sent no real notice or frozen funds. Faster investigations are an outcome we still need to measure.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4"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4"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4" w:lineRule="auto" w:after="1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TraceSetu explained for the team</dc:title>
  <dc:subject>A plain language guide to the problem and the full planned solution</dc:subject>
  <dc:creator>ANANTHA</dc:creator>
  <cp:keywords/>
  <dc:description>generated by python-docx</dc:description>
  <cp:lastModifiedBy>ANANTHA</cp:lastModifiedBy>
  <cp:revision>1</cp:revision>
  <dcterms:created xsi:type="dcterms:W3CDTF">2013-12-23T23:15:00Z</dcterms:created>
  <dcterms:modified xsi:type="dcterms:W3CDTF">2013-12-23T23:15:00Z</dcterms:modified>
  <cp:category/>
</cp:coreProperties>
</file>