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4D4" w:rsidRDefault="004873A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Cycle 2 </w:t>
      </w:r>
    </w:p>
    <w:p w:rsidR="004873A2" w:rsidRDefault="004873A2">
      <w:pPr>
        <w:rPr>
          <w:sz w:val="24"/>
          <w:szCs w:val="28"/>
        </w:rPr>
      </w:pPr>
      <w:r>
        <w:rPr>
          <w:b/>
          <w:sz w:val="28"/>
          <w:szCs w:val="28"/>
        </w:rPr>
        <w:tab/>
      </w:r>
      <w:r>
        <w:rPr>
          <w:sz w:val="24"/>
          <w:szCs w:val="28"/>
        </w:rPr>
        <w:t>Pure uranium rod</w:t>
      </w:r>
    </w:p>
    <w:p w:rsidR="004873A2" w:rsidRDefault="004873A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MNDBR </w:t>
      </w:r>
      <w:r>
        <w:rPr>
          <w:sz w:val="24"/>
          <w:szCs w:val="24"/>
          <w:vertAlign w:val="subscript"/>
        </w:rPr>
        <w:t>uniform</w:t>
      </w:r>
      <w:r>
        <w:rPr>
          <w:sz w:val="24"/>
          <w:szCs w:val="24"/>
        </w:rPr>
        <w:t>: 1.464</w:t>
      </w:r>
    </w:p>
    <w:p w:rsidR="004873A2" w:rsidRDefault="004873A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MNDBR </w:t>
      </w:r>
      <w:r>
        <w:rPr>
          <w:sz w:val="24"/>
          <w:szCs w:val="24"/>
          <w:vertAlign w:val="subscript"/>
        </w:rPr>
        <w:t>non-uniform</w:t>
      </w:r>
      <w:r>
        <w:rPr>
          <w:sz w:val="24"/>
          <w:szCs w:val="24"/>
        </w:rPr>
        <w:t>: 1.371</w:t>
      </w:r>
    </w:p>
    <w:p w:rsidR="0075592B" w:rsidRDefault="0075592B">
      <w:pPr>
        <w:rPr>
          <w:rFonts w:eastAsiaTheme="minorEastAsia"/>
          <w:sz w:val="24"/>
        </w:rPr>
      </w:pPr>
      <w:r>
        <w:rPr>
          <w:sz w:val="24"/>
          <w:szCs w:val="24"/>
        </w:rPr>
        <w:tab/>
      </w:r>
      <w:r>
        <w:rPr>
          <w:sz w:val="24"/>
        </w:rPr>
        <w:t>Maximum Temperature of the Fuel:</w:t>
      </w:r>
      <w:r>
        <w:rPr>
          <w:sz w:val="24"/>
        </w:rPr>
        <w:t xml:space="preserve"> 2733.02 K @</w:t>
      </w:r>
      <m:oMath>
        <m:r>
          <w:rPr>
            <w:rFonts w:ascii="Cambria Math" w:hAnsi="Cambria Math"/>
            <w:sz w:val="24"/>
          </w:rPr>
          <m:t>39.54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GWd</m:t>
            </m:r>
          </m:num>
          <m:den>
            <m:r>
              <w:rPr>
                <w:rFonts w:ascii="Cambria Math" w:hAnsi="Cambria Math"/>
                <w:sz w:val="24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fuel</m:t>
                </m:r>
              </m:sub>
            </m:sSub>
          </m:den>
        </m:f>
      </m:oMath>
    </w:p>
    <w:p w:rsidR="0075592B" w:rsidRDefault="0075592B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This occurs ~ 2.39 m above the bottom of the core</w:t>
      </w:r>
    </w:p>
    <w:p w:rsidR="0075592B" w:rsidRDefault="0075592B" w:rsidP="0075592B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Pressure Drop along the subchannel: 76 kPa (negligible compared to total pressure)</w:t>
      </w:r>
    </w:p>
    <w:p w:rsidR="0075592B" w:rsidRDefault="0075592B">
      <w:pPr>
        <w:rPr>
          <w:sz w:val="24"/>
          <w:szCs w:val="24"/>
        </w:rPr>
      </w:pPr>
      <w:r>
        <w:rPr>
          <w:sz w:val="24"/>
          <w:szCs w:val="24"/>
        </w:rPr>
        <w:tab/>
        <w:t>Max Coolant Temperature</w:t>
      </w:r>
      <w:r w:rsidR="00E90F2C">
        <w:rPr>
          <w:sz w:val="24"/>
          <w:szCs w:val="24"/>
        </w:rPr>
        <w:t xml:space="preserve"> = 609.0 K </w:t>
      </w:r>
    </w:p>
    <w:p w:rsidR="0075592B" w:rsidRDefault="0075592B">
      <w:pPr>
        <w:rPr>
          <w:sz w:val="24"/>
          <w:szCs w:val="24"/>
        </w:rPr>
      </w:pPr>
      <w:r>
        <w:rPr>
          <w:sz w:val="24"/>
          <w:szCs w:val="24"/>
        </w:rPr>
        <w:tab/>
        <w:t>Max Cladding Temperature</w:t>
      </w:r>
      <w:r w:rsidR="00E90F2C">
        <w:rPr>
          <w:sz w:val="24"/>
          <w:szCs w:val="24"/>
        </w:rPr>
        <w:t xml:space="preserve"> = 707.4 K</w:t>
      </w:r>
    </w:p>
    <w:p w:rsidR="0075592B" w:rsidRDefault="0075592B" w:rsidP="0075592B">
      <w:r>
        <w:rPr>
          <w:sz w:val="24"/>
          <w:szCs w:val="24"/>
        </w:rPr>
        <w:tab/>
      </w:r>
      <w:r>
        <w:rPr>
          <w:rFonts w:eastAsiaTheme="minorEastAsia"/>
          <w:sz w:val="24"/>
        </w:rPr>
        <w:t>F</w:t>
      </w:r>
      <w:r>
        <w:rPr>
          <w:rFonts w:eastAsiaTheme="minorEastAsia"/>
          <w:sz w:val="24"/>
          <w:vertAlign w:val="subscript"/>
        </w:rPr>
        <w:t>Q</w:t>
      </w:r>
      <w:r>
        <w:rPr>
          <w:rFonts w:eastAsiaTheme="minorEastAsia"/>
          <w:sz w:val="24"/>
        </w:rPr>
        <w:t xml:space="preserve"> = 2.2963</w:t>
      </w:r>
      <w:r>
        <w:rPr>
          <w:rFonts w:eastAsiaTheme="minorEastAsia"/>
          <w:sz w:val="24"/>
          <w:vertAlign w:val="subscript"/>
        </w:rPr>
        <w:t xml:space="preserve"> </w:t>
      </w:r>
    </w:p>
    <w:p w:rsidR="0075592B" w:rsidRPr="0075592B" w:rsidRDefault="0075592B" w:rsidP="0075592B">
      <w:pPr>
        <w:ind w:firstLine="720"/>
      </w:pPr>
      <w:r>
        <w:rPr>
          <w:rFonts w:eastAsiaTheme="minorEastAsia"/>
          <w:sz w:val="24"/>
        </w:rPr>
        <w:t>F</w:t>
      </w:r>
      <w:r>
        <w:rPr>
          <w:rFonts w:eastAsiaTheme="minorEastAsia"/>
          <w:sz w:val="24"/>
          <w:vertAlign w:val="subscript"/>
        </w:rPr>
        <w:t>Z</w:t>
      </w:r>
      <w:r>
        <w:rPr>
          <w:rFonts w:eastAsiaTheme="minorEastAsia"/>
          <w:sz w:val="24"/>
        </w:rPr>
        <w:t xml:space="preserve"> = 1.524</w:t>
      </w:r>
    </w:p>
    <w:p w:rsidR="00E90F2C" w:rsidRDefault="0075592B" w:rsidP="0075592B">
      <w:pPr>
        <w:ind w:firstLine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>F</w:t>
      </w:r>
      <w:r>
        <w:rPr>
          <w:rFonts w:eastAsiaTheme="minorEastAsia"/>
          <w:sz w:val="24"/>
          <w:vertAlign w:val="subscript"/>
        </w:rPr>
        <w:t xml:space="preserve">R </w:t>
      </w:r>
      <w:r>
        <w:rPr>
          <w:rFonts w:eastAsiaTheme="minorEastAsia"/>
          <w:sz w:val="24"/>
        </w:rPr>
        <w:t xml:space="preserve">= </w:t>
      </w:r>
    </w:p>
    <w:tbl>
      <w:tblPr>
        <w:tblStyle w:val="TableGrid"/>
        <w:tblW w:w="13580" w:type="dxa"/>
        <w:tblLook w:val="04A0" w:firstRow="1" w:lastRow="0" w:firstColumn="1" w:lastColumn="0" w:noHBand="0" w:noVBand="1"/>
      </w:tblPr>
      <w:tblGrid>
        <w:gridCol w:w="1406"/>
        <w:gridCol w:w="1406"/>
        <w:gridCol w:w="1409"/>
        <w:gridCol w:w="1288"/>
        <w:gridCol w:w="1409"/>
        <w:gridCol w:w="1347"/>
        <w:gridCol w:w="1347"/>
        <w:gridCol w:w="1347"/>
        <w:gridCol w:w="1274"/>
        <w:gridCol w:w="1347"/>
      </w:tblGrid>
      <w:tr w:rsidR="00D36BAA" w:rsidTr="00D36BAA">
        <w:trPr>
          <w:trHeight w:val="599"/>
        </w:trPr>
        <w:tc>
          <w:tcPr>
            <w:tcW w:w="1406" w:type="dxa"/>
          </w:tcPr>
          <w:p w:rsidR="00E90F2C" w:rsidRPr="00545E38" w:rsidRDefault="00E90F2C" w:rsidP="00E90F2C">
            <w:bookmarkStart w:id="0" w:name="_GoBack"/>
            <w:bookmarkEnd w:id="0"/>
            <w:r w:rsidRPr="00545E38">
              <w:t>6.16907</w:t>
            </w:r>
          </w:p>
        </w:tc>
        <w:tc>
          <w:tcPr>
            <w:tcW w:w="1406" w:type="dxa"/>
          </w:tcPr>
          <w:p w:rsidR="00E90F2C" w:rsidRPr="00545E38" w:rsidRDefault="00E90F2C" w:rsidP="00E90F2C">
            <w:r>
              <w:t>6.00325</w:t>
            </w:r>
          </w:p>
        </w:tc>
        <w:tc>
          <w:tcPr>
            <w:tcW w:w="1409" w:type="dxa"/>
          </w:tcPr>
          <w:p w:rsidR="00E90F2C" w:rsidRPr="00545E38" w:rsidRDefault="00E90F2C" w:rsidP="00E90F2C">
            <w:r>
              <w:t>5.64644</w:t>
            </w:r>
          </w:p>
        </w:tc>
        <w:tc>
          <w:tcPr>
            <w:tcW w:w="1288" w:type="dxa"/>
          </w:tcPr>
          <w:p w:rsidR="00E90F2C" w:rsidRPr="00545E38" w:rsidRDefault="00E90F2C" w:rsidP="00E90F2C">
            <w:r>
              <w:t>6.7617</w:t>
            </w:r>
          </w:p>
        </w:tc>
        <w:tc>
          <w:tcPr>
            <w:tcW w:w="1409" w:type="dxa"/>
          </w:tcPr>
          <w:p w:rsidR="00E90F2C" w:rsidRPr="00545E38" w:rsidRDefault="00E90F2C" w:rsidP="00E90F2C">
            <w:r>
              <w:t>5.91837</w:t>
            </w:r>
          </w:p>
        </w:tc>
        <w:tc>
          <w:tcPr>
            <w:tcW w:w="1347" w:type="dxa"/>
          </w:tcPr>
          <w:p w:rsidR="00E90F2C" w:rsidRDefault="00E90F2C" w:rsidP="00E90F2C">
            <w:r w:rsidRPr="00E90F2C">
              <w:t>5.01455</w:t>
            </w:r>
          </w:p>
        </w:tc>
        <w:tc>
          <w:tcPr>
            <w:tcW w:w="1347" w:type="dxa"/>
          </w:tcPr>
          <w:p w:rsidR="00E90F2C" w:rsidRDefault="00E90F2C" w:rsidP="00E90F2C">
            <w:r w:rsidRPr="00E90F2C">
              <w:t>7.76525</w:t>
            </w:r>
          </w:p>
        </w:tc>
        <w:tc>
          <w:tcPr>
            <w:tcW w:w="1347" w:type="dxa"/>
          </w:tcPr>
          <w:p w:rsidR="00E90F2C" w:rsidRDefault="00E90F2C" w:rsidP="00E90F2C">
            <w:r w:rsidRPr="00E90F2C">
              <w:t>4.74727</w:t>
            </w:r>
          </w:p>
        </w:tc>
        <w:tc>
          <w:tcPr>
            <w:tcW w:w="1274" w:type="dxa"/>
          </w:tcPr>
          <w:p w:rsidR="00E90F2C" w:rsidRDefault="00E90F2C" w:rsidP="00E90F2C">
            <w:r w:rsidRPr="00E90F2C">
              <w:t>7.286</w:t>
            </w:r>
          </w:p>
        </w:tc>
        <w:tc>
          <w:tcPr>
            <w:tcW w:w="1347" w:type="dxa"/>
          </w:tcPr>
          <w:p w:rsidR="00E90F2C" w:rsidRDefault="00E90F2C" w:rsidP="00E90F2C">
            <w:r w:rsidRPr="00E90F2C">
              <w:t>3.65497</w:t>
            </w:r>
          </w:p>
        </w:tc>
      </w:tr>
      <w:tr w:rsidR="00D36BAA" w:rsidTr="00D36BAA">
        <w:trPr>
          <w:trHeight w:val="562"/>
        </w:trPr>
        <w:tc>
          <w:tcPr>
            <w:tcW w:w="1406" w:type="dxa"/>
          </w:tcPr>
          <w:p w:rsidR="00E90F2C" w:rsidRPr="00545E38" w:rsidRDefault="00E90F2C" w:rsidP="00E90F2C">
            <w:r w:rsidRPr="00E90F2C">
              <w:t>3.64575</w:t>
            </w:r>
          </w:p>
        </w:tc>
        <w:tc>
          <w:tcPr>
            <w:tcW w:w="1406" w:type="dxa"/>
          </w:tcPr>
          <w:p w:rsidR="00E90F2C" w:rsidRPr="00545E38" w:rsidRDefault="00E90F2C" w:rsidP="00E90F2C">
            <w:r w:rsidRPr="00E90F2C">
              <w:t>2.71815</w:t>
            </w:r>
          </w:p>
        </w:tc>
        <w:tc>
          <w:tcPr>
            <w:tcW w:w="1409" w:type="dxa"/>
          </w:tcPr>
          <w:p w:rsidR="00E90F2C" w:rsidRPr="00545E38" w:rsidRDefault="00E90F2C" w:rsidP="00E90F2C">
            <w:r w:rsidRPr="00E90F2C">
              <w:t>2.65376</w:t>
            </w:r>
          </w:p>
        </w:tc>
        <w:tc>
          <w:tcPr>
            <w:tcW w:w="1288" w:type="dxa"/>
          </w:tcPr>
          <w:p w:rsidR="00E90F2C" w:rsidRPr="00545E38" w:rsidRDefault="00E90F2C" w:rsidP="00E90F2C">
            <w:r w:rsidRPr="00E90F2C">
              <w:t>3.24487</w:t>
            </w:r>
          </w:p>
        </w:tc>
        <w:tc>
          <w:tcPr>
            <w:tcW w:w="1409" w:type="dxa"/>
          </w:tcPr>
          <w:p w:rsidR="00E90F2C" w:rsidRPr="00545E38" w:rsidRDefault="00E90F2C" w:rsidP="00E90F2C">
            <w:r w:rsidRPr="00E90F2C">
              <w:t>2.35846</w:t>
            </w:r>
          </w:p>
        </w:tc>
        <w:tc>
          <w:tcPr>
            <w:tcW w:w="1347" w:type="dxa"/>
          </w:tcPr>
          <w:p w:rsidR="00E90F2C" w:rsidRPr="00545E38" w:rsidRDefault="00E90F2C" w:rsidP="00E90F2C">
            <w:r w:rsidRPr="00E90F2C">
              <w:t>2.7947</w:t>
            </w:r>
          </w:p>
        </w:tc>
        <w:tc>
          <w:tcPr>
            <w:tcW w:w="1347" w:type="dxa"/>
          </w:tcPr>
          <w:p w:rsidR="00E90F2C" w:rsidRPr="00545E38" w:rsidRDefault="00E90F2C" w:rsidP="00E90F2C">
            <w:r w:rsidRPr="00E90F2C">
              <w:t>2.46147</w:t>
            </w:r>
          </w:p>
        </w:tc>
        <w:tc>
          <w:tcPr>
            <w:tcW w:w="1347" w:type="dxa"/>
          </w:tcPr>
          <w:p w:rsidR="00E90F2C" w:rsidRPr="00545E38" w:rsidRDefault="00E90F2C" w:rsidP="00E90F2C">
            <w:r w:rsidRPr="00E90F2C">
              <w:t>2.53898</w:t>
            </w:r>
          </w:p>
        </w:tc>
        <w:tc>
          <w:tcPr>
            <w:tcW w:w="1274" w:type="dxa"/>
          </w:tcPr>
          <w:p w:rsidR="00E90F2C" w:rsidRPr="00545E38" w:rsidRDefault="00E90F2C" w:rsidP="00E90F2C">
            <w:r w:rsidRPr="00E90F2C">
              <w:t>3.39885</w:t>
            </w:r>
          </w:p>
        </w:tc>
        <w:tc>
          <w:tcPr>
            <w:tcW w:w="1347" w:type="dxa"/>
          </w:tcPr>
          <w:p w:rsidR="00E90F2C" w:rsidRPr="00545E38" w:rsidRDefault="00E90F2C" w:rsidP="00E90F2C">
            <w:r w:rsidRPr="00E90F2C">
              <w:t>2.49154</w:t>
            </w:r>
          </w:p>
        </w:tc>
      </w:tr>
    </w:tbl>
    <w:p w:rsidR="0075592B" w:rsidRDefault="0075592B" w:rsidP="0075592B">
      <w:pPr>
        <w:ind w:firstLine="720"/>
        <w:rPr>
          <w:rFonts w:eastAsiaTheme="minorEastAsia"/>
          <w:sz w:val="24"/>
        </w:rPr>
      </w:pPr>
    </w:p>
    <w:p w:rsidR="0075592B" w:rsidRDefault="0075592B" w:rsidP="0075592B">
      <w:pPr>
        <w:ind w:firstLine="720"/>
      </w:pPr>
      <w:r>
        <w:rPr>
          <w:rFonts w:eastAsiaTheme="minorEastAsia"/>
          <w:sz w:val="24"/>
        </w:rPr>
        <w:t>F</w:t>
      </w:r>
      <w:r>
        <w:rPr>
          <w:rFonts w:eastAsiaTheme="minorEastAsia"/>
          <w:sz w:val="24"/>
          <w:vertAlign w:val="subscript"/>
        </w:rPr>
        <w:t>N</w:t>
      </w:r>
      <w:r>
        <w:rPr>
          <w:rFonts w:eastAsiaTheme="minorEastAsia" w:cstheme="minorHAnsi"/>
          <w:sz w:val="24"/>
          <w:vertAlign w:val="superscript"/>
        </w:rPr>
        <w:t>Δ</w:t>
      </w:r>
      <w:r>
        <w:rPr>
          <w:rFonts w:eastAsiaTheme="minorEastAsia"/>
          <w:sz w:val="24"/>
          <w:vertAlign w:val="superscript"/>
        </w:rPr>
        <w:t>H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= 1.5067</w:t>
      </w:r>
    </w:p>
    <w:p w:rsidR="0075592B" w:rsidRDefault="00E90F2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0CB70C" wp14:editId="6CFD955F">
            <wp:extent cx="8657090" cy="51461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80741" cy="516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2C" w:rsidRDefault="00D36BA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25EC32" wp14:editId="548491A3">
            <wp:extent cx="8816137" cy="485907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28773" cy="486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BAA" w:rsidRPr="004873A2" w:rsidRDefault="00D36BA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BAA0AA" wp14:editId="5BB02360">
            <wp:extent cx="8911933" cy="5061098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21583" cy="506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BAA" w:rsidRPr="004873A2" w:rsidSect="00E90F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D5F"/>
    <w:rsid w:val="004873A2"/>
    <w:rsid w:val="004A1E14"/>
    <w:rsid w:val="0075592B"/>
    <w:rsid w:val="00A204D4"/>
    <w:rsid w:val="00A77D5F"/>
    <w:rsid w:val="00BE6456"/>
    <w:rsid w:val="00D36BAA"/>
    <w:rsid w:val="00E9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75E8C"/>
  <w15:chartTrackingRefBased/>
  <w15:docId w15:val="{7D3E807D-3B79-4C26-992F-6EC1A1ED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592B"/>
    <w:rPr>
      <w:color w:val="808080"/>
    </w:rPr>
  </w:style>
  <w:style w:type="table" w:styleId="TableGrid">
    <w:name w:val="Table Grid"/>
    <w:basedOn w:val="TableNormal"/>
    <w:uiPriority w:val="39"/>
    <w:rsid w:val="00E90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Sexton</dc:creator>
  <cp:keywords/>
  <dc:description/>
  <cp:lastModifiedBy>Robert Sexton</cp:lastModifiedBy>
  <cp:revision>4</cp:revision>
  <dcterms:created xsi:type="dcterms:W3CDTF">2018-04-18T01:16:00Z</dcterms:created>
  <dcterms:modified xsi:type="dcterms:W3CDTF">2018-04-18T01:53:00Z</dcterms:modified>
</cp:coreProperties>
</file>