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142"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МИНИСТЕРСТВО НАУКИ И ВЫСШЕГО ОБРАЗОВАНИЯ РОССИЙСКОЙ ФЕДЕРАЦИИ</w:t>
      </w:r>
    </w:p>
    <w:p>
      <w:pPr>
        <w:spacing w:before="0" w:after="0" w:line="240"/>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Федеральное государственное бюджетное образовательное учреждение</w:t>
      </w:r>
    </w:p>
    <w:p>
      <w:pPr>
        <w:spacing w:before="0" w:after="0" w:line="240"/>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высшего образования</w:t>
      </w:r>
    </w:p>
    <w:p>
      <w:pPr>
        <w:spacing w:before="0" w:after="0" w:line="240"/>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w:t>
      </w:r>
      <w:r>
        <w:rPr>
          <w:rFonts w:ascii="Times New Roman" w:hAnsi="Times New Roman" w:cs="Times New Roman" w:eastAsia="Times New Roman"/>
          <w:b/>
          <w:color w:val="000000"/>
          <w:spacing w:val="0"/>
          <w:position w:val="0"/>
          <w:sz w:val="28"/>
          <w:shd w:fill="auto" w:val="clear"/>
        </w:rPr>
        <w:t xml:space="preserve">КУБАНСКИЙ ГОСУДАРСТВЕННЫЙ УНИВЕРСИТЕТ</w:t>
      </w:r>
      <w:r>
        <w:rPr>
          <w:rFonts w:ascii="Times New Roman" w:hAnsi="Times New Roman" w:cs="Times New Roman" w:eastAsia="Times New Roman"/>
          <w:b/>
          <w:color w:val="000000"/>
          <w:spacing w:val="0"/>
          <w:position w:val="0"/>
          <w:sz w:val="28"/>
          <w:shd w:fill="auto" w:val="clear"/>
        </w:rPr>
        <w:t xml:space="preserve">»</w:t>
      </w:r>
    </w:p>
    <w:p>
      <w:pPr>
        <w:spacing w:before="0" w:after="0" w:line="240"/>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w:t>
      </w:r>
      <w:r>
        <w:rPr>
          <w:rFonts w:ascii="Times New Roman" w:hAnsi="Times New Roman" w:cs="Times New Roman" w:eastAsia="Times New Roman"/>
          <w:b/>
          <w:color w:val="000000"/>
          <w:spacing w:val="0"/>
          <w:position w:val="0"/>
          <w:sz w:val="28"/>
          <w:shd w:fill="auto" w:val="clear"/>
        </w:rPr>
        <w:t xml:space="preserve">ФГБОУ ВО </w:t>
      </w:r>
      <w:r>
        <w:rPr>
          <w:rFonts w:ascii="Times New Roman" w:hAnsi="Times New Roman" w:cs="Times New Roman" w:eastAsia="Times New Roman"/>
          <w:b/>
          <w:color w:val="000000"/>
          <w:spacing w:val="0"/>
          <w:position w:val="0"/>
          <w:sz w:val="28"/>
          <w:shd w:fill="auto" w:val="clear"/>
        </w:rPr>
        <w:t xml:space="preserve">«</w:t>
      </w:r>
      <w:r>
        <w:rPr>
          <w:rFonts w:ascii="Times New Roman" w:hAnsi="Times New Roman" w:cs="Times New Roman" w:eastAsia="Times New Roman"/>
          <w:b/>
          <w:color w:val="000000"/>
          <w:spacing w:val="0"/>
          <w:position w:val="0"/>
          <w:sz w:val="28"/>
          <w:shd w:fill="auto" w:val="clear"/>
        </w:rPr>
        <w:t xml:space="preserve">КубГУ</w:t>
      </w:r>
      <w:r>
        <w:rPr>
          <w:rFonts w:ascii="Times New Roman" w:hAnsi="Times New Roman" w:cs="Times New Roman" w:eastAsia="Times New Roman"/>
          <w:b/>
          <w:color w:val="000000"/>
          <w:spacing w:val="0"/>
          <w:position w:val="0"/>
          <w:sz w:val="28"/>
          <w:shd w:fill="auto" w:val="clear"/>
        </w:rPr>
        <w:t xml:space="preserve">»)</w:t>
      </w:r>
    </w:p>
    <w:p>
      <w:pPr>
        <w:spacing w:before="0" w:after="0" w:line="240"/>
        <w:ind w:right="0" w:left="0" w:firstLine="708"/>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Факультет компьютерных технологий и прикладной математики</w:t>
      </w:r>
    </w:p>
    <w:p>
      <w:pPr>
        <w:spacing w:before="0" w:after="0" w:line="240"/>
        <w:ind w:right="0" w:left="0" w:firstLine="0"/>
        <w:jc w:val="center"/>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Кафедра прикладной математики</w:t>
      </w: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0" w:left="0" w:firstLine="0"/>
        <w:jc w:val="center"/>
        <w:rPr>
          <w:rFonts w:ascii="Courier New" w:hAnsi="Courier New" w:cs="Courier New" w:eastAsia="Courier New"/>
          <w:color w:val="000000"/>
          <w:spacing w:val="0"/>
          <w:position w:val="0"/>
          <w:sz w:val="24"/>
          <w:shd w:fill="auto" w:val="clear"/>
        </w:rPr>
      </w:pPr>
    </w:p>
    <w:p>
      <w:pPr>
        <w:spacing w:before="0" w:after="0" w:line="240"/>
        <w:ind w:right="9" w:left="15"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ОТЧЕТ</w:t>
      </w:r>
      <w:r>
        <w:rPr>
          <w:rFonts w:ascii="Times New Roman" w:hAnsi="Times New Roman" w:cs="Times New Roman" w:eastAsia="Times New Roman"/>
          <w:b/>
          <w:color w:val="auto"/>
          <w:spacing w:val="-7"/>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ПО</w:t>
      </w:r>
      <w:r>
        <w:rPr>
          <w:rFonts w:ascii="Times New Roman" w:hAnsi="Times New Roman" w:cs="Times New Roman" w:eastAsia="Times New Roman"/>
          <w:b/>
          <w:color w:val="auto"/>
          <w:spacing w:val="-12"/>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ЛАБОРАТОРНОЙ</w:t>
      </w:r>
      <w:r>
        <w:rPr>
          <w:rFonts w:ascii="Times New Roman" w:hAnsi="Times New Roman" w:cs="Times New Roman" w:eastAsia="Times New Roman"/>
          <w:b/>
          <w:color w:val="auto"/>
          <w:spacing w:val="-8"/>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РАБОТЕ</w:t>
      </w:r>
      <w:r>
        <w:rPr>
          <w:rFonts w:ascii="Times New Roman" w:hAnsi="Times New Roman" w:cs="Times New Roman" w:eastAsia="Times New Roman"/>
          <w:b/>
          <w:color w:val="auto"/>
          <w:spacing w:val="-5"/>
          <w:position w:val="0"/>
          <w:sz w:val="32"/>
          <w:shd w:fill="auto" w:val="clear"/>
        </w:rPr>
        <w:t xml:space="preserve"> </w:t>
      </w:r>
      <w:r>
        <w:rPr>
          <w:rFonts w:ascii="Segoe UI Symbol" w:hAnsi="Segoe UI Symbol" w:cs="Segoe UI Symbol" w:eastAsia="Segoe UI Symbol"/>
          <w:b/>
          <w:color w:val="auto"/>
          <w:spacing w:val="-5"/>
          <w:position w:val="0"/>
          <w:sz w:val="32"/>
          <w:shd w:fill="auto" w:val="clear"/>
        </w:rPr>
        <w:t xml:space="preserve">№</w:t>
      </w:r>
      <w:r>
        <w:rPr>
          <w:rFonts w:ascii="Times New Roman" w:hAnsi="Times New Roman" w:cs="Times New Roman" w:eastAsia="Times New Roman"/>
          <w:b/>
          <w:color w:val="auto"/>
          <w:spacing w:val="-5"/>
          <w:position w:val="0"/>
          <w:sz w:val="32"/>
          <w:shd w:fill="auto" w:val="clear"/>
        </w:rPr>
        <w:t xml:space="preserve">2</w:t>
      </w:r>
    </w:p>
    <w:p>
      <w:pPr>
        <w:spacing w:before="189" w:after="0" w:line="240"/>
        <w:ind w:right="9" w:left="9"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по</w:t>
      </w:r>
      <w:r>
        <w:rPr>
          <w:rFonts w:ascii="Times New Roman" w:hAnsi="Times New Roman" w:cs="Times New Roman" w:eastAsia="Times New Roman"/>
          <w:color w:val="auto"/>
          <w:spacing w:val="-10"/>
          <w:position w:val="0"/>
          <w:sz w:val="32"/>
          <w:shd w:fill="auto" w:val="clear"/>
        </w:rPr>
        <w:t xml:space="preserve"> </w:t>
      </w:r>
      <w:r>
        <w:rPr>
          <w:rFonts w:ascii="Times New Roman" w:hAnsi="Times New Roman" w:cs="Times New Roman" w:eastAsia="Times New Roman"/>
          <w:color w:val="auto"/>
          <w:spacing w:val="0"/>
          <w:position w:val="0"/>
          <w:sz w:val="32"/>
          <w:shd w:fill="auto" w:val="clear"/>
        </w:rPr>
        <w:t xml:space="preserve">дисциплине</w:t>
      </w:r>
      <w:r>
        <w:rPr>
          <w:rFonts w:ascii="Times New Roman" w:hAnsi="Times New Roman" w:cs="Times New Roman" w:eastAsia="Times New Roman"/>
          <w:color w:val="auto"/>
          <w:spacing w:val="-10"/>
          <w:position w:val="0"/>
          <w:sz w:val="32"/>
          <w:shd w:fill="auto" w:val="clear"/>
        </w:rPr>
        <w:t xml:space="preserve"> </w:t>
      </w: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Технологии</w:t>
      </w:r>
      <w:r>
        <w:rPr>
          <w:rFonts w:ascii="Times New Roman" w:hAnsi="Times New Roman" w:cs="Times New Roman" w:eastAsia="Times New Roman"/>
          <w:color w:val="auto"/>
          <w:spacing w:val="-6"/>
          <w:position w:val="0"/>
          <w:sz w:val="32"/>
          <w:shd w:fill="auto" w:val="clear"/>
        </w:rPr>
        <w:t xml:space="preserve"> </w:t>
      </w:r>
      <w:r>
        <w:rPr>
          <w:rFonts w:ascii="Times New Roman" w:hAnsi="Times New Roman" w:cs="Times New Roman" w:eastAsia="Times New Roman"/>
          <w:color w:val="auto"/>
          <w:spacing w:val="0"/>
          <w:position w:val="0"/>
          <w:sz w:val="32"/>
          <w:shd w:fill="auto" w:val="clear"/>
        </w:rPr>
        <w:t xml:space="preserve">создания</w:t>
      </w:r>
      <w:r>
        <w:rPr>
          <w:rFonts w:ascii="Times New Roman" w:hAnsi="Times New Roman" w:cs="Times New Roman" w:eastAsia="Times New Roman"/>
          <w:color w:val="auto"/>
          <w:spacing w:val="-7"/>
          <w:position w:val="0"/>
          <w:sz w:val="32"/>
          <w:shd w:fill="auto" w:val="clear"/>
        </w:rPr>
        <w:t xml:space="preserve"> </w:t>
      </w:r>
      <w:r>
        <w:rPr>
          <w:rFonts w:ascii="Times New Roman" w:hAnsi="Times New Roman" w:cs="Times New Roman" w:eastAsia="Times New Roman"/>
          <w:color w:val="auto"/>
          <w:spacing w:val="0"/>
          <w:position w:val="0"/>
          <w:sz w:val="32"/>
          <w:shd w:fill="auto" w:val="clear"/>
        </w:rPr>
        <w:t xml:space="preserve">и</w:t>
      </w:r>
      <w:r>
        <w:rPr>
          <w:rFonts w:ascii="Times New Roman" w:hAnsi="Times New Roman" w:cs="Times New Roman" w:eastAsia="Times New Roman"/>
          <w:color w:val="auto"/>
          <w:spacing w:val="-11"/>
          <w:position w:val="0"/>
          <w:sz w:val="32"/>
          <w:shd w:fill="auto" w:val="clear"/>
        </w:rPr>
        <w:t xml:space="preserve"> </w:t>
      </w:r>
      <w:r>
        <w:rPr>
          <w:rFonts w:ascii="Times New Roman" w:hAnsi="Times New Roman" w:cs="Times New Roman" w:eastAsia="Times New Roman"/>
          <w:color w:val="auto"/>
          <w:spacing w:val="0"/>
          <w:position w:val="0"/>
          <w:sz w:val="32"/>
          <w:shd w:fill="auto" w:val="clear"/>
        </w:rPr>
        <w:t xml:space="preserve">поддержки</w:t>
      </w:r>
      <w:r>
        <w:rPr>
          <w:rFonts w:ascii="Times New Roman" w:hAnsi="Times New Roman" w:cs="Times New Roman" w:eastAsia="Times New Roman"/>
          <w:color w:val="auto"/>
          <w:spacing w:val="-7"/>
          <w:position w:val="0"/>
          <w:sz w:val="32"/>
          <w:shd w:fill="auto" w:val="clear"/>
        </w:rPr>
        <w:t xml:space="preserve"> </w:t>
      </w:r>
      <w:r>
        <w:rPr>
          <w:rFonts w:ascii="Times New Roman" w:hAnsi="Times New Roman" w:cs="Times New Roman" w:eastAsia="Times New Roman"/>
          <w:color w:val="auto"/>
          <w:spacing w:val="-5"/>
          <w:position w:val="0"/>
          <w:sz w:val="32"/>
          <w:shd w:fill="auto" w:val="clear"/>
        </w:rPr>
        <w:t xml:space="preserve">ПО</w:t>
      </w:r>
      <w:r>
        <w:rPr>
          <w:rFonts w:ascii="Times New Roman" w:hAnsi="Times New Roman" w:cs="Times New Roman" w:eastAsia="Times New Roman"/>
          <w:color w:val="auto"/>
          <w:spacing w:val="-5"/>
          <w:position w:val="0"/>
          <w:sz w:val="32"/>
          <w:shd w:fill="auto" w:val="clear"/>
        </w:rPr>
        <w:t xml:space="preserve">»</w:t>
      </w:r>
    </w:p>
    <w:p>
      <w:pPr>
        <w:spacing w:before="0" w:after="0" w:line="259"/>
        <w:ind w:right="15" w:left="6"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Тема проекта:</w:t>
      </w:r>
      <w:r>
        <w:rPr>
          <w:rFonts w:ascii="Times New Roman" w:hAnsi="Times New Roman" w:cs="Times New Roman" w:eastAsia="Times New Roman"/>
          <w:color w:val="auto"/>
          <w:spacing w:val="-7"/>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Диаграммы UML. Диаграмма вариантов использования.</w:t>
      </w:r>
      <w:r>
        <w:rPr>
          <w:rFonts w:ascii="Times New Roman" w:hAnsi="Times New Roman" w:cs="Times New Roman" w:eastAsia="Times New Roman"/>
          <w:b/>
          <w:color w:val="auto"/>
          <w:spacing w:val="-2"/>
          <w:position w:val="0"/>
          <w:sz w:val="32"/>
          <w:shd w:fill="auto" w:val="clear"/>
        </w:rPr>
        <w:t xml:space="preserve">»</w:t>
      </w:r>
      <w:r>
        <w:rPr>
          <w:rFonts w:ascii="Times New Roman" w:hAnsi="Times New Roman" w:cs="Times New Roman" w:eastAsia="Times New Roman"/>
          <w:color w:val="auto"/>
          <w:spacing w:val="-2"/>
          <w:position w:val="0"/>
          <w:sz w:val="32"/>
          <w:shd w:fill="auto" w:val="clear"/>
        </w:rPr>
        <w:t xml:space="preserve">.</w:t>
      </w: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9" w:left="9" w:firstLine="0"/>
        <w:jc w:val="center"/>
        <w:rPr>
          <w:rFonts w:ascii="Times New Roman" w:hAnsi="Times New Roman" w:cs="Times New Roman" w:eastAsia="Times New Roman"/>
          <w:color w:val="auto"/>
          <w:spacing w:val="-4"/>
          <w:position w:val="0"/>
          <w:sz w:val="32"/>
          <w:shd w:fill="auto" w:val="clear"/>
        </w:rPr>
      </w:pPr>
      <w:r>
        <w:rPr>
          <w:rFonts w:ascii="Times New Roman" w:hAnsi="Times New Roman" w:cs="Times New Roman" w:eastAsia="Times New Roman"/>
          <w:color w:val="auto"/>
          <w:spacing w:val="0"/>
          <w:position w:val="0"/>
          <w:sz w:val="32"/>
          <w:shd w:fill="auto" w:val="clear"/>
        </w:rPr>
        <w:t xml:space="preserve">подготовил</w:t>
      </w:r>
      <w:r>
        <w:rPr>
          <w:rFonts w:ascii="Times New Roman" w:hAnsi="Times New Roman" w:cs="Times New Roman" w:eastAsia="Times New Roman"/>
          <w:color w:val="auto"/>
          <w:spacing w:val="-10"/>
          <w:position w:val="0"/>
          <w:sz w:val="32"/>
          <w:shd w:fill="auto" w:val="clear"/>
        </w:rPr>
        <w:t xml:space="preserve"> </w:t>
      </w:r>
      <w:r>
        <w:rPr>
          <w:rFonts w:ascii="Times New Roman" w:hAnsi="Times New Roman" w:cs="Times New Roman" w:eastAsia="Times New Roman"/>
          <w:color w:val="auto"/>
          <w:spacing w:val="0"/>
          <w:position w:val="0"/>
          <w:sz w:val="32"/>
          <w:shd w:fill="auto" w:val="clear"/>
        </w:rPr>
        <w:t xml:space="preserve">студент:</w:t>
      </w:r>
      <w:r>
        <w:rPr>
          <w:rFonts w:ascii="Times New Roman" w:hAnsi="Times New Roman" w:cs="Times New Roman" w:eastAsia="Times New Roman"/>
          <w:color w:val="auto"/>
          <w:spacing w:val="-11"/>
          <w:position w:val="0"/>
          <w:sz w:val="32"/>
          <w:shd w:fill="auto" w:val="clear"/>
        </w:rPr>
        <w:t xml:space="preserve"> </w:t>
      </w:r>
      <w:r>
        <w:rPr>
          <w:rFonts w:ascii="Times New Roman" w:hAnsi="Times New Roman" w:cs="Times New Roman" w:eastAsia="Times New Roman"/>
          <w:color w:val="auto"/>
          <w:spacing w:val="0"/>
          <w:position w:val="0"/>
          <w:sz w:val="32"/>
          <w:shd w:fill="auto" w:val="clear"/>
        </w:rPr>
        <w:t xml:space="preserve">Семенов Рустам </w:t>
      </w:r>
      <w:r>
        <w:rPr>
          <w:rFonts w:ascii="Times New Roman" w:hAnsi="Times New Roman" w:cs="Times New Roman" w:eastAsia="Times New Roman"/>
          <w:color w:val="auto"/>
          <w:spacing w:val="-11"/>
          <w:position w:val="0"/>
          <w:sz w:val="32"/>
          <w:shd w:fill="auto" w:val="clear"/>
        </w:rPr>
        <w:t xml:space="preserve">ПИ</w:t>
      </w:r>
      <w:r>
        <w:rPr>
          <w:rFonts w:ascii="Times New Roman" w:hAnsi="Times New Roman" w:cs="Times New Roman" w:eastAsia="Times New Roman"/>
          <w:color w:val="auto"/>
          <w:spacing w:val="-4"/>
          <w:position w:val="0"/>
          <w:sz w:val="32"/>
          <w:shd w:fill="auto" w:val="clear"/>
        </w:rPr>
        <w:t xml:space="preserve">22/2</w:t>
      </w:r>
    </w:p>
    <w:p>
      <w:pPr>
        <w:spacing w:before="73" w:after="0" w:line="240"/>
        <w:ind w:right="0" w:left="14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Цели</w:t>
      </w:r>
      <w:r>
        <w:rPr>
          <w:rFonts w:ascii="Times New Roman" w:hAnsi="Times New Roman" w:cs="Times New Roman" w:eastAsia="Times New Roman"/>
          <w:b/>
          <w:color w:val="auto"/>
          <w:spacing w:val="-13"/>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и</w:t>
      </w:r>
      <w:r>
        <w:rPr>
          <w:rFonts w:ascii="Times New Roman" w:hAnsi="Times New Roman" w:cs="Times New Roman" w:eastAsia="Times New Roman"/>
          <w:b/>
          <w:color w:val="auto"/>
          <w:spacing w:val="-9"/>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задачи</w:t>
      </w:r>
      <w:r>
        <w:rPr>
          <w:rFonts w:ascii="Times New Roman" w:hAnsi="Times New Roman" w:cs="Times New Roman" w:eastAsia="Times New Roman"/>
          <w:b/>
          <w:color w:val="auto"/>
          <w:spacing w:val="-9"/>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выполняемой</w:t>
      </w:r>
      <w:r>
        <w:rPr>
          <w:rFonts w:ascii="Times New Roman" w:hAnsi="Times New Roman" w:cs="Times New Roman" w:eastAsia="Times New Roman"/>
          <w:b/>
          <w:color w:val="auto"/>
          <w:spacing w:val="-12"/>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лабораторной</w:t>
      </w:r>
      <w:r>
        <w:rPr>
          <w:rFonts w:ascii="Times New Roman" w:hAnsi="Times New Roman" w:cs="Times New Roman" w:eastAsia="Times New Roman"/>
          <w:b/>
          <w:color w:val="auto"/>
          <w:spacing w:val="-12"/>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работы</w:t>
      </w:r>
    </w:p>
    <w:p>
      <w:pPr>
        <w:spacing w:before="343" w:after="0" w:line="360"/>
        <w:ind w:right="0" w:left="14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Цель</w:t>
      </w:r>
      <w:r>
        <w:rPr>
          <w:rFonts w:ascii="Times New Roman" w:hAnsi="Times New Roman" w:cs="Times New Roman" w:eastAsia="Times New Roman"/>
          <w:b/>
          <w:color w:val="auto"/>
          <w:spacing w:val="-2"/>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работы: </w:t>
      </w:r>
      <w:r>
        <w:rPr>
          <w:rFonts w:ascii="Times New Roman" w:hAnsi="Times New Roman" w:cs="Times New Roman" w:eastAsia="Times New Roman"/>
          <w:color w:val="auto"/>
          <w:spacing w:val="0"/>
          <w:position w:val="0"/>
          <w:sz w:val="28"/>
          <w:shd w:fill="auto" w:val="clear"/>
        </w:rPr>
        <w:t xml:space="preserve">Изучение и получение навыков создания диаграмм вариантов использования.</w:t>
      </w:r>
    </w:p>
    <w:p>
      <w:pPr>
        <w:spacing w:before="164" w:after="0" w:line="240"/>
        <w:ind w:right="0" w:left="14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Задачи</w:t>
      </w:r>
      <w:r>
        <w:rPr>
          <w:rFonts w:ascii="Times New Roman" w:hAnsi="Times New Roman" w:cs="Times New Roman" w:eastAsia="Times New Roman"/>
          <w:b/>
          <w:color w:val="auto"/>
          <w:spacing w:val="-5"/>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работы:</w:t>
      </w:r>
    </w:p>
    <w:p>
      <w:pPr>
        <w:numPr>
          <w:ilvl w:val="0"/>
          <w:numId w:val="13"/>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Рассмотреть типы отношений между элементами диаграммы вариантов использования (ассоциация, включение, расширение, обобщение) и особенности их применения.</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15"/>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Определить акторов проектируемой системы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Аналог Booking.com (сервис бронирования отелей)</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и их роли в рамках взаимодействия с системой.</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17"/>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Выделить основные варианты использования системы на основе ранее сформулированных пользовательских историй.</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19"/>
        </w:numPr>
        <w:spacing w:before="0" w:after="0" w:line="240"/>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Построить диаграмму вариантов использования, отражающую функциональные возможности системы и взаимодействие акторов с вариантами использования.</w:t>
      </w:r>
    </w:p>
    <w:p>
      <w:pPr>
        <w:spacing w:before="0" w:after="0" w:line="240"/>
        <w:ind w:right="0" w:left="861" w:hanging="36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Courier New" w:hAnsi="Courier New" w:cs="Courier New" w:eastAsia="Courier New"/>
          <w:color w:val="000000"/>
          <w:spacing w:val="0"/>
          <w:position w:val="0"/>
          <w:sz w:val="28"/>
          <w:shd w:fill="auto" w:val="clear"/>
        </w:rPr>
      </w:pPr>
      <w:r>
        <w:rPr>
          <w:rFonts w:ascii="Courier New" w:hAnsi="Courier New" w:cs="Courier New" w:eastAsia="Courier New"/>
          <w:color w:val="000000"/>
          <w:spacing w:val="0"/>
          <w:position w:val="0"/>
          <w:sz w:val="28"/>
          <w:shd w:fill="auto" w:val="clear"/>
        </w:rPr>
        <w:t xml:space="preserve"> </w:t>
      </w:r>
    </w:p>
    <w:p>
      <w:pPr>
        <w:spacing w:before="0" w:after="0" w:line="240"/>
        <w:ind w:right="0" w:left="0" w:firstLine="0"/>
        <w:jc w:val="left"/>
        <w:rPr>
          <w:rFonts w:ascii="Courier New" w:hAnsi="Courier New" w:cs="Courier New" w:eastAsia="Courier New"/>
          <w:color w:val="000000"/>
          <w:spacing w:val="0"/>
          <w:position w:val="0"/>
          <w:sz w:val="28"/>
          <w:shd w:fill="auto" w:val="clear"/>
        </w:rPr>
      </w:pPr>
    </w:p>
    <w:p>
      <w:pPr>
        <w:spacing w:before="0" w:after="0" w:line="240"/>
        <w:ind w:right="0" w:left="0" w:firstLine="0"/>
        <w:jc w:val="left"/>
        <w:rPr>
          <w:rFonts w:ascii="Courier New" w:hAnsi="Courier New" w:cs="Courier New" w:eastAsia="Courier New"/>
          <w:color w:val="000000"/>
          <w:spacing w:val="0"/>
          <w:position w:val="0"/>
          <w:sz w:val="28"/>
          <w:shd w:fill="auto" w:val="clear"/>
        </w:rPr>
      </w:pPr>
    </w:p>
    <w:p>
      <w:pPr>
        <w:spacing w:before="0" w:after="0" w:line="240"/>
        <w:ind w:right="0" w:left="0" w:firstLine="0"/>
        <w:jc w:val="left"/>
        <w:rPr>
          <w:rFonts w:ascii="Courier New" w:hAnsi="Courier New" w:cs="Courier New" w:eastAsia="Courier New"/>
          <w:color w:val="000000"/>
          <w:spacing w:val="0"/>
          <w:position w:val="0"/>
          <w:sz w:val="28"/>
          <w:shd w:fill="auto" w:val="clear"/>
        </w:rPr>
      </w:pPr>
      <w:r>
        <w:object w:dxaOrig="8422" w:dyaOrig="9900">
          <v:rect xmlns:o="urn:schemas-microsoft-com:office:office" xmlns:v="urn:schemas-microsoft-com:vml" id="rectole0000000000" style="width:421.100000pt;height:495.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Courier New" w:hAnsi="Courier New" w:cs="Courier New" w:eastAsia="Courier New"/>
          <w:color w:val="000000"/>
          <w:spacing w:val="0"/>
          <w:position w:val="0"/>
          <w:sz w:val="28"/>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240"/>
        <w:ind w:right="0" w:left="0" w:firstLine="0"/>
        <w:jc w:val="left"/>
        <w:rPr>
          <w:rFonts w:ascii="Courier New" w:hAnsi="Courier New" w:cs="Courier New" w:eastAsia="Courier New"/>
          <w:color w:val="000000"/>
          <w:spacing w:val="0"/>
          <w:position w:val="0"/>
          <w:sz w:val="24"/>
          <w:shd w:fill="auto" w:val="clear"/>
        </w:rPr>
      </w:pPr>
      <w:r>
        <w:rPr>
          <w:rFonts w:ascii="Courier New" w:hAnsi="Courier New" w:cs="Courier New" w:eastAsia="Courier New"/>
          <w:color w:val="000000"/>
          <w:spacing w:val="0"/>
          <w:position w:val="0"/>
          <w:sz w:val="24"/>
          <w:shd w:fill="auto" w:val="clear"/>
        </w:rPr>
        <w:t xml:space="preserve"> </w:t>
      </w:r>
    </w:p>
    <w:p>
      <w:pPr>
        <w:spacing w:before="0" w:after="0" w:line="240"/>
        <w:ind w:right="0" w:left="0" w:firstLine="0"/>
        <w:jc w:val="left"/>
        <w:rPr>
          <w:rFonts w:ascii="Courier New" w:hAnsi="Courier New" w:cs="Courier New" w:eastAsia="Courier New"/>
          <w:color w:val="000000"/>
          <w:spacing w:val="0"/>
          <w:position w:val="0"/>
          <w:sz w:val="24"/>
          <w:shd w:fill="auto" w:val="clear"/>
        </w:rPr>
      </w:pPr>
    </w:p>
    <w:p>
      <w:pPr>
        <w:spacing w:before="0" w:after="0" w:line="360"/>
        <w:ind w:right="0" w:left="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Ответы на контрольные вопросы </w:t>
      </w:r>
    </w:p>
    <w:p>
      <w:pPr>
        <w:numPr>
          <w:ilvl w:val="0"/>
          <w:numId w:val="23"/>
        </w:numPr>
        <w:spacing w:before="0" w:after="0" w:line="360"/>
        <w:ind w:right="0" w:left="500" w:hanging="36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Из каких элементов состоит диаграмма вариантов использования (ВИ)?</w:t>
      </w:r>
    </w:p>
    <w:p>
      <w:pPr>
        <w:spacing w:before="0" w:after="0" w:line="360"/>
        <w:ind w:right="0" w:left="14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Диаграмма вариантов использования в UML состоит из следующих основных элементов:</w:t>
      </w:r>
    </w:p>
    <w:p>
      <w:pPr>
        <w:numPr>
          <w:ilvl w:val="0"/>
          <w:numId w:val="25"/>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Акторы (Actors)</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внешние по отношению к системе сущности, взаимодействующие с ней. Актором может быть пользователь, другая система или устройство. Акторы изображаются в виде схематической фигуры человека.</w:t>
      </w:r>
    </w:p>
    <w:p>
      <w:pPr>
        <w:numPr>
          <w:ilvl w:val="0"/>
          <w:numId w:val="25"/>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Варианты использования (Use Cases)</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функциональные возможности системы, представляющие собой завершённые сценарии взаимодействия актора с системой. Они отображаются в виде овала с названием соответствующего действия.</w:t>
      </w:r>
    </w:p>
    <w:p>
      <w:pPr>
        <w:numPr>
          <w:ilvl w:val="0"/>
          <w:numId w:val="25"/>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Граница системы (System Boundary)</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прямоугольник, внутри которого располагаются варианты использования. Он обозначает пределы рассматриваемой системы.</w:t>
      </w:r>
    </w:p>
    <w:p>
      <w:pPr>
        <w:numPr>
          <w:ilvl w:val="0"/>
          <w:numId w:val="25"/>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Связи (Relationships)</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линии, отображающие взаимодействие между акторами и вариантами использования, а также отношения между самими вариантами использования.</w:t>
      </w:r>
    </w:p>
    <w:p>
      <w:pPr>
        <w:spacing w:before="0" w:after="0" w:line="360"/>
        <w:ind w:right="0" w:left="14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К основным типам отношений относятся:</w:t>
      </w:r>
    </w:p>
    <w:p>
      <w:pPr>
        <w:numPr>
          <w:ilvl w:val="0"/>
          <w:numId w:val="27"/>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ассоциация (связь актора с вариантом использования),</w:t>
      </w:r>
    </w:p>
    <w:p>
      <w:pPr>
        <w:numPr>
          <w:ilvl w:val="0"/>
          <w:numId w:val="27"/>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включение (include),</w:t>
      </w:r>
    </w:p>
    <w:p>
      <w:pPr>
        <w:numPr>
          <w:ilvl w:val="0"/>
          <w:numId w:val="27"/>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расширение (extend),</w:t>
      </w:r>
    </w:p>
    <w:p>
      <w:pPr>
        <w:numPr>
          <w:ilvl w:val="0"/>
          <w:numId w:val="27"/>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обобщение (generalization).</w:t>
      </w:r>
    </w:p>
    <w:p>
      <w:pPr>
        <w:spacing w:before="0" w:after="0" w:line="360"/>
        <w:ind w:right="0" w:left="14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Таким образом, диаграмма вариантов использования позволяет на концептуальном уровне отразить структуру взаимодействия пользователей с системой и её функциональные возможности.</w:t>
      </w:r>
    </w:p>
    <w:p>
      <w:pPr>
        <w:spacing w:before="0" w:after="0" w:line="360"/>
        <w:ind w:right="0" w:left="140" w:firstLine="0"/>
        <w:jc w:val="both"/>
        <w:rPr>
          <w:rFonts w:ascii="Times New Roman" w:hAnsi="Times New Roman" w:cs="Times New Roman" w:eastAsia="Times New Roman"/>
          <w:color w:val="auto"/>
          <w:spacing w:val="0"/>
          <w:position w:val="0"/>
          <w:sz w:val="28"/>
          <w:shd w:fill="auto" w:val="clear"/>
        </w:rPr>
      </w:pPr>
    </w:p>
    <w:p>
      <w:pPr>
        <w:spacing w:before="0" w:after="0" w:line="360"/>
        <w:ind w:right="0" w:left="14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 </w:t>
      </w:r>
      <w:r>
        <w:rPr>
          <w:rFonts w:ascii="Times New Roman" w:hAnsi="Times New Roman" w:cs="Times New Roman" w:eastAsia="Times New Roman"/>
          <w:b/>
          <w:color w:val="auto"/>
          <w:spacing w:val="0"/>
          <w:position w:val="0"/>
          <w:sz w:val="28"/>
          <w:shd w:fill="auto" w:val="clear"/>
        </w:rPr>
        <w:t xml:space="preserve">В чем отличие отношений ВИ </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Включение</w:t>
      </w:r>
      <w:r>
        <w:rPr>
          <w:rFonts w:ascii="Times New Roman" w:hAnsi="Times New Roman" w:cs="Times New Roman" w:eastAsia="Times New Roman"/>
          <w:b/>
          <w:color w:val="auto"/>
          <w:spacing w:val="0"/>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и </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Расширение</w:t>
      </w:r>
      <w:r>
        <w:rPr>
          <w:rFonts w:ascii="Times New Roman" w:hAnsi="Times New Roman" w:cs="Times New Roman" w:eastAsia="Times New Roman"/>
          <w:b/>
          <w:color w:val="auto"/>
          <w:spacing w:val="0"/>
          <w:position w:val="0"/>
          <w:sz w:val="28"/>
          <w:shd w:fill="auto" w:val="clear"/>
        </w:rPr>
        <w:t xml:space="preserve">»?</w:t>
      </w:r>
    </w:p>
    <w:p>
      <w:pPr>
        <w:spacing w:before="0" w:after="0" w:line="360"/>
        <w:ind w:right="0" w:left="14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Отношения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Включение</w:t>
      </w:r>
      <w:r>
        <w:rPr>
          <w:rFonts w:ascii="Times New Roman" w:hAnsi="Times New Roman" w:cs="Times New Roman" w:eastAsia="Times New Roman"/>
          <w:color w:val="auto"/>
          <w:spacing w:val="0"/>
          <w:position w:val="0"/>
          <w:sz w:val="28"/>
          <w:shd w:fill="auto" w:val="clear"/>
        </w:rPr>
        <w:t xml:space="preserve">» (include) </w:t>
      </w:r>
      <w:r>
        <w:rPr>
          <w:rFonts w:ascii="Times New Roman" w:hAnsi="Times New Roman" w:cs="Times New Roman" w:eastAsia="Times New Roman"/>
          <w:color w:val="auto"/>
          <w:spacing w:val="0"/>
          <w:position w:val="0"/>
          <w:sz w:val="28"/>
          <w:shd w:fill="auto" w:val="clear"/>
        </w:rPr>
        <w:t xml:space="preserve">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Расширение</w:t>
      </w:r>
      <w:r>
        <w:rPr>
          <w:rFonts w:ascii="Times New Roman" w:hAnsi="Times New Roman" w:cs="Times New Roman" w:eastAsia="Times New Roman"/>
          <w:color w:val="auto"/>
          <w:spacing w:val="0"/>
          <w:position w:val="0"/>
          <w:sz w:val="28"/>
          <w:shd w:fill="auto" w:val="clear"/>
        </w:rPr>
        <w:t xml:space="preserve">» (extend) </w:t>
      </w:r>
      <w:r>
        <w:rPr>
          <w:rFonts w:ascii="Times New Roman" w:hAnsi="Times New Roman" w:cs="Times New Roman" w:eastAsia="Times New Roman"/>
          <w:color w:val="auto"/>
          <w:spacing w:val="0"/>
          <w:position w:val="0"/>
          <w:sz w:val="28"/>
          <w:shd w:fill="auto" w:val="clear"/>
        </w:rPr>
        <w:t xml:space="preserve">используются для описания взаимосвязей между вариантами использования, однако они имеют различную семантику.</w:t>
      </w:r>
    </w:p>
    <w:p>
      <w:pPr>
        <w:spacing w:before="0" w:after="0" w:line="360"/>
        <w:ind w:right="0" w:left="14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Отношение </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Включение</w:t>
      </w:r>
      <w:r>
        <w:rPr>
          <w:rFonts w:ascii="Times New Roman" w:hAnsi="Times New Roman" w:cs="Times New Roman" w:eastAsia="Times New Roman"/>
          <w:b/>
          <w:color w:val="auto"/>
          <w:spacing w:val="0"/>
          <w:position w:val="0"/>
          <w:sz w:val="28"/>
          <w:shd w:fill="auto" w:val="clear"/>
        </w:rPr>
        <w:t xml:space="preserve">» (include)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означает, что выполнение одного варианта использования обязательно включает выполнение другого варианта использования как составной части. Иными словами, включаемый вариант использования всегда выполняется при выполнении базового. Такое отношение применяется для выделения общего поведения, которое используется в нескольких сценариях. На диаграмме оно обозначается пунктирной стрелкой с пометкой </w:t>
      </w:r>
      <w:r>
        <w:rPr>
          <w:rFonts w:ascii="Times New Roman" w:hAnsi="Times New Roman" w:cs="Times New Roman" w:eastAsia="Times New Roman"/>
          <w:color w:val="auto"/>
          <w:spacing w:val="0"/>
          <w:position w:val="0"/>
          <w:sz w:val="28"/>
          <w:shd w:fill="auto" w:val="clear"/>
        </w:rPr>
        <w:t xml:space="preserve">«&lt;&lt;include&gt;&gt;», </w:t>
      </w:r>
      <w:r>
        <w:rPr>
          <w:rFonts w:ascii="Times New Roman" w:hAnsi="Times New Roman" w:cs="Times New Roman" w:eastAsia="Times New Roman"/>
          <w:color w:val="auto"/>
          <w:spacing w:val="0"/>
          <w:position w:val="0"/>
          <w:sz w:val="28"/>
          <w:shd w:fill="auto" w:val="clear"/>
        </w:rPr>
        <w:t xml:space="preserve">направленной к включаемому варианту использования.</w:t>
      </w:r>
    </w:p>
    <w:p>
      <w:pPr>
        <w:spacing w:before="0" w:after="0" w:line="360"/>
        <w:ind w:right="0" w:left="14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Отношение </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Расширение</w:t>
      </w:r>
      <w:r>
        <w:rPr>
          <w:rFonts w:ascii="Times New Roman" w:hAnsi="Times New Roman" w:cs="Times New Roman" w:eastAsia="Times New Roman"/>
          <w:b/>
          <w:color w:val="auto"/>
          <w:spacing w:val="0"/>
          <w:position w:val="0"/>
          <w:sz w:val="28"/>
          <w:shd w:fill="auto" w:val="clear"/>
        </w:rPr>
        <w:t xml:space="preserve">» (extend)</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указывает на возможность дополнительного поведения, которое может быть выполнено при определённых условиях. Расширяющий вариант использования не является обязательным и выполняется только при выполнении заданного условия. На диаграмме это отношение обозначается пунктирной стрелкой с пометкой </w:t>
      </w:r>
      <w:r>
        <w:rPr>
          <w:rFonts w:ascii="Times New Roman" w:hAnsi="Times New Roman" w:cs="Times New Roman" w:eastAsia="Times New Roman"/>
          <w:color w:val="auto"/>
          <w:spacing w:val="0"/>
          <w:position w:val="0"/>
          <w:sz w:val="28"/>
          <w:shd w:fill="auto" w:val="clear"/>
        </w:rPr>
        <w:t xml:space="preserve">«&lt;&lt;extend&gt;&gt;», </w:t>
      </w:r>
      <w:r>
        <w:rPr>
          <w:rFonts w:ascii="Times New Roman" w:hAnsi="Times New Roman" w:cs="Times New Roman" w:eastAsia="Times New Roman"/>
          <w:color w:val="auto"/>
          <w:spacing w:val="0"/>
          <w:position w:val="0"/>
          <w:sz w:val="28"/>
          <w:shd w:fill="auto" w:val="clear"/>
        </w:rPr>
        <w:t xml:space="preserve">направленной к базовому варианту использования.</w:t>
      </w:r>
    </w:p>
    <w:p>
      <w:pPr>
        <w:spacing w:before="0" w:after="0" w:line="360"/>
        <w:ind w:right="0" w:left="14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Таким образом, основное различие заключается в обязательности выполнения:</w:t>
      </w:r>
    </w:p>
    <w:p>
      <w:pPr>
        <w:numPr>
          <w:ilvl w:val="0"/>
          <w:numId w:val="29"/>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«include»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обязательное включение поведения;</w:t>
      </w:r>
    </w:p>
    <w:p>
      <w:pPr>
        <w:numPr>
          <w:ilvl w:val="0"/>
          <w:numId w:val="29"/>
        </w:numPr>
        <w:tabs>
          <w:tab w:val="left" w:pos="720" w:leader="none"/>
        </w:tabs>
        <w:spacing w:before="0" w:after="0" w:line="360"/>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«extend»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условное, дополнительное расширение поведения.</w:t>
      </w:r>
    </w:p>
    <w:p>
      <w:pPr>
        <w:spacing w:before="0" w:after="0" w:line="360"/>
        <w:ind w:right="0" w:left="14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 </w:t>
      </w:r>
      <w:r>
        <w:rPr>
          <w:rFonts w:ascii="Times New Roman" w:hAnsi="Times New Roman" w:cs="Times New Roman" w:eastAsia="Times New Roman"/>
          <w:b/>
          <w:color w:val="auto"/>
          <w:spacing w:val="0"/>
          <w:position w:val="0"/>
          <w:sz w:val="28"/>
          <w:shd w:fill="auto" w:val="clear"/>
        </w:rPr>
        <w:t xml:space="preserve">Почему для создания диаграмм ВИ желательно использовать специализированные редакторы?</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Использование специализированных UML-редакторов при создании диаграмм вариантов использования является предпочтительным по нескольким причинам.</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Во-первых, такие инструменты обеспечивают корректное соблюдение нотации UML, что позволяет избежать ошибок в обозначениях элементов и связей.</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Во-вторых, специализированные редакторы автоматизируют процесс построения диаграмм, упрощают создание и редактирование связей между элементами, а также позволяют быстро вносить изменения при необходимости.</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В-третьих, подобные инструменты поддерживают экспорт диаграмм в различные форматы (PNG, PDF, SVG и другие), что облегчает их включение в отчёты и документацию.</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Кроме того, многие UML-редакторы поддерживают создание нескольких типов диаграмм в рамках одного проекта, что обеспечивает целостность моделирования системы.</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Таким образом, применение специализированных средств разработки UML-диаграмм повышает точность, наглядность и качество представления функциональных требований системы.</w:t>
      </w:r>
    </w:p>
    <w:p>
      <w:pPr>
        <w:spacing w:before="0" w:after="0" w:line="360"/>
        <w:ind w:right="0" w:left="140" w:firstLine="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Вывод</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В ходе выполнения лабораторной работы </w:t>
      </w:r>
      <w:r>
        <w:rPr>
          <w:rFonts w:ascii="Segoe UI Symbol" w:hAnsi="Segoe UI Symbol" w:cs="Segoe UI Symbol" w:eastAsia="Segoe UI Symbol"/>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2 </w:t>
      </w:r>
      <w:r>
        <w:rPr>
          <w:rFonts w:ascii="Times New Roman" w:hAnsi="Times New Roman" w:cs="Times New Roman" w:eastAsia="Times New Roman"/>
          <w:color w:val="auto"/>
          <w:spacing w:val="0"/>
          <w:position w:val="0"/>
          <w:sz w:val="32"/>
          <w:shd w:fill="auto" w:val="clear"/>
        </w:rPr>
        <w:t xml:space="preserve">были изучены основные принципы построения диаграмм вариантов использования в нотации UML, а также рассмотрены элементы и типы отношений между ними.</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На основе ранее разработанных вариантов использования для системы </w:t>
      </w:r>
      <w:r>
        <w:rPr>
          <w:rFonts w:ascii="Times New Roman" w:hAnsi="Times New Roman" w:cs="Times New Roman" w:eastAsia="Times New Roman"/>
          <w:color w:val="auto"/>
          <w:spacing w:val="0"/>
          <w:position w:val="0"/>
          <w:sz w:val="32"/>
          <w:shd w:fill="auto" w:val="clear"/>
        </w:rPr>
        <w:t xml:space="preserve">«</w:t>
      </w:r>
      <w:r>
        <w:rPr>
          <w:rFonts w:ascii="Times New Roman" w:hAnsi="Times New Roman" w:cs="Times New Roman" w:eastAsia="Times New Roman"/>
          <w:color w:val="auto"/>
          <w:spacing w:val="0"/>
          <w:position w:val="0"/>
          <w:sz w:val="32"/>
          <w:shd w:fill="auto" w:val="clear"/>
        </w:rPr>
        <w:t xml:space="preserve">Аналог Booking.com (сервис бронирования отелей)</w:t>
      </w:r>
      <w:r>
        <w:rPr>
          <w:rFonts w:ascii="Times New Roman" w:hAnsi="Times New Roman" w:cs="Times New Roman" w:eastAsia="Times New Roman"/>
          <w:color w:val="auto"/>
          <w:spacing w:val="0"/>
          <w:position w:val="0"/>
          <w:sz w:val="32"/>
          <w:shd w:fill="auto" w:val="clear"/>
        </w:rPr>
        <w:t xml:space="preserve">» </w:t>
      </w:r>
      <w:r>
        <w:rPr>
          <w:rFonts w:ascii="Times New Roman" w:hAnsi="Times New Roman" w:cs="Times New Roman" w:eastAsia="Times New Roman"/>
          <w:color w:val="auto"/>
          <w:spacing w:val="0"/>
          <w:position w:val="0"/>
          <w:sz w:val="32"/>
          <w:shd w:fill="auto" w:val="clear"/>
        </w:rPr>
        <w:t xml:space="preserve">была построена диаграмма вариантов использования, отражающая взаимодействие акторов (Гость, Зарегистрированный пользователь, Владелец отеля, Администратор, Платёжная система) с функциональными возможностями системы (поиск, бронирование, управление бронированиями, отзывы, управление отелем, модерация и др.). При построении были применены отношения обобщения, включения и расширения в соответствии с их семантикой.</w:t>
      </w: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p>
    <w:p>
      <w:pPr>
        <w:spacing w:before="0" w:after="0" w:line="360"/>
        <w:ind w:right="0" w:left="140" w:firstLine="0"/>
        <w:jc w:val="both"/>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В результате работы были закреплены навыки анализа требований и их визуального представления с использованием UML-диаграмм. Поставленные цели и задачи лабораторной работы выполнены в полном объёме.</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13">
    <w:abstractNumId w:val="42"/>
  </w:num>
  <w:num w:numId="15">
    <w:abstractNumId w:val="36"/>
  </w:num>
  <w:num w:numId="17">
    <w:abstractNumId w:val="30"/>
  </w:num>
  <w:num w:numId="19">
    <w:abstractNumId w:val="24"/>
  </w:num>
  <w:num w:numId="23">
    <w:abstractNumId w:val="18"/>
  </w:num>
  <w:num w:numId="25">
    <w:abstractNumId w:val="12"/>
  </w:num>
  <w:num w:numId="27">
    <w:abstractNumId w:val="6"/>
  </w:num>
  <w:num w:numId="2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