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142"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МИНИСТЕРСТВО НАУКИ И ВЫСШЕГО ОБРАЗОВАНИЯ РОССИЙСКОЙ ФЕДЕРАЦИИ</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Федеральное государственное бюджетное образовательное учреждение</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высшего образования</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КУБАНСКИЙ ГОСУДАРСТВЕННЫЙ УНИВЕРСИТЕТ</w:t>
      </w:r>
      <w:r>
        <w:rPr>
          <w:rFonts w:ascii="Times New Roman" w:hAnsi="Times New Roman" w:cs="Times New Roman" w:eastAsia="Times New Roman"/>
          <w:b/>
          <w:color w:val="000000"/>
          <w:spacing w:val="0"/>
          <w:position w:val="0"/>
          <w:sz w:val="28"/>
          <w:shd w:fill="auto" w:val="clear"/>
        </w:rPr>
        <w:t xml:space="preserve">»</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ФГБОУ ВО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КубГУ</w:t>
      </w:r>
      <w:r>
        <w:rPr>
          <w:rFonts w:ascii="Times New Roman" w:hAnsi="Times New Roman" w:cs="Times New Roman" w:eastAsia="Times New Roman"/>
          <w:b/>
          <w:color w:val="000000"/>
          <w:spacing w:val="0"/>
          <w:position w:val="0"/>
          <w:sz w:val="28"/>
          <w:shd w:fill="auto" w:val="clear"/>
        </w:rPr>
        <w:t xml:space="preserve">»)</w:t>
      </w:r>
    </w:p>
    <w:p>
      <w:pPr>
        <w:spacing w:before="0" w:after="0" w:line="240"/>
        <w:ind w:right="0" w:left="0" w:firstLine="708"/>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Факультет компьютерных технологий и прикладной математики</w: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Кафедра прикладной математики</w:t>
      </w: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9" w:left="15"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ОТЧЕТ</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ПО</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ЛАБОРАТОРНОЙ</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РАБОТЕ</w:t>
      </w:r>
      <w:r>
        <w:rPr>
          <w:rFonts w:ascii="Times New Roman" w:hAnsi="Times New Roman" w:cs="Times New Roman" w:eastAsia="Times New Roman"/>
          <w:b/>
          <w:color w:val="auto"/>
          <w:spacing w:val="-5"/>
          <w:position w:val="0"/>
          <w:sz w:val="32"/>
          <w:shd w:fill="auto" w:val="clear"/>
        </w:rPr>
        <w:t xml:space="preserve"> </w:t>
      </w:r>
      <w:r>
        <w:rPr>
          <w:rFonts w:ascii="Segoe UI Symbol" w:hAnsi="Segoe UI Symbol" w:cs="Segoe UI Symbol" w:eastAsia="Segoe UI Symbol"/>
          <w:b/>
          <w:color w:val="auto"/>
          <w:spacing w:val="-5"/>
          <w:position w:val="0"/>
          <w:sz w:val="32"/>
          <w:shd w:fill="auto" w:val="clear"/>
        </w:rPr>
        <w:t xml:space="preserve">№</w:t>
      </w:r>
      <w:r>
        <w:rPr>
          <w:rFonts w:ascii="Times New Roman" w:hAnsi="Times New Roman" w:cs="Times New Roman" w:eastAsia="Times New Roman"/>
          <w:b/>
          <w:color w:val="auto"/>
          <w:spacing w:val="-5"/>
          <w:position w:val="0"/>
          <w:sz w:val="32"/>
          <w:shd w:fill="auto" w:val="clear"/>
        </w:rPr>
        <w:t xml:space="preserve">2</w:t>
      </w:r>
    </w:p>
    <w:p>
      <w:pPr>
        <w:spacing w:before="189" w:after="0" w:line="240"/>
        <w:ind w:right="9" w:left="9"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по</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дисциплине</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Технологии</w:t>
      </w:r>
      <w:r>
        <w:rPr>
          <w:rFonts w:ascii="Times New Roman" w:hAnsi="Times New Roman" w:cs="Times New Roman" w:eastAsia="Times New Roman"/>
          <w:color w:val="auto"/>
          <w:spacing w:val="-6"/>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создания</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и</w:t>
      </w:r>
      <w:r>
        <w:rPr>
          <w:rFonts w:ascii="Times New Roman" w:hAnsi="Times New Roman" w:cs="Times New Roman" w:eastAsia="Times New Roman"/>
          <w:color w:val="auto"/>
          <w:spacing w:val="-11"/>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поддержки</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color w:val="auto"/>
          <w:spacing w:val="-5"/>
          <w:position w:val="0"/>
          <w:sz w:val="32"/>
          <w:shd w:fill="auto" w:val="clear"/>
        </w:rPr>
        <w:t xml:space="preserve">ПО</w:t>
      </w:r>
      <w:r>
        <w:rPr>
          <w:rFonts w:ascii="Times New Roman" w:hAnsi="Times New Roman" w:cs="Times New Roman" w:eastAsia="Times New Roman"/>
          <w:color w:val="auto"/>
          <w:spacing w:val="-5"/>
          <w:position w:val="0"/>
          <w:sz w:val="32"/>
          <w:shd w:fill="auto" w:val="clear"/>
        </w:rPr>
        <w:t xml:space="preserve">»</w:t>
      </w:r>
    </w:p>
    <w:p>
      <w:pPr>
        <w:spacing w:before="0" w:after="0" w:line="259"/>
        <w:ind w:right="15" w:left="6"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Тема проекта:</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Диаграммы UML. Диаграмма вариантов использования.</w:t>
      </w:r>
      <w:r>
        <w:rPr>
          <w:rFonts w:ascii="Times New Roman" w:hAnsi="Times New Roman" w:cs="Times New Roman" w:eastAsia="Times New Roman"/>
          <w:b/>
          <w:color w:val="auto"/>
          <w:spacing w:val="-2"/>
          <w:position w:val="0"/>
          <w:sz w:val="32"/>
          <w:shd w:fill="auto" w:val="clear"/>
        </w:rPr>
        <w:t xml:space="preserve">»</w:t>
      </w:r>
      <w:r>
        <w:rPr>
          <w:rFonts w:ascii="Times New Roman" w:hAnsi="Times New Roman" w:cs="Times New Roman" w:eastAsia="Times New Roman"/>
          <w:color w:val="auto"/>
          <w:spacing w:val="-2"/>
          <w:position w:val="0"/>
          <w:sz w:val="32"/>
          <w:shd w:fill="auto" w:val="clear"/>
        </w:rPr>
        <w:t xml:space="preserve">.</w:t>
      </w: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9" w:left="9" w:firstLine="0"/>
        <w:jc w:val="center"/>
        <w:rPr>
          <w:rFonts w:ascii="Times New Roman" w:hAnsi="Times New Roman" w:cs="Times New Roman" w:eastAsia="Times New Roman"/>
          <w:color w:val="auto"/>
          <w:spacing w:val="-4"/>
          <w:position w:val="0"/>
          <w:sz w:val="32"/>
          <w:shd w:fill="auto" w:val="clear"/>
        </w:rPr>
      </w:pPr>
      <w:r>
        <w:rPr>
          <w:rFonts w:ascii="Times New Roman" w:hAnsi="Times New Roman" w:cs="Times New Roman" w:eastAsia="Times New Roman"/>
          <w:color w:val="auto"/>
          <w:spacing w:val="0"/>
          <w:position w:val="0"/>
          <w:sz w:val="32"/>
          <w:shd w:fill="auto" w:val="clear"/>
        </w:rPr>
        <w:t xml:space="preserve">подготовил</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студент:</w:t>
      </w:r>
      <w:r>
        <w:rPr>
          <w:rFonts w:ascii="Times New Roman" w:hAnsi="Times New Roman" w:cs="Times New Roman" w:eastAsia="Times New Roman"/>
          <w:color w:val="auto"/>
          <w:spacing w:val="-11"/>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Семенов Рустам </w:t>
      </w:r>
      <w:r>
        <w:rPr>
          <w:rFonts w:ascii="Times New Roman" w:hAnsi="Times New Roman" w:cs="Times New Roman" w:eastAsia="Times New Roman"/>
          <w:color w:val="auto"/>
          <w:spacing w:val="-11"/>
          <w:position w:val="0"/>
          <w:sz w:val="32"/>
          <w:shd w:fill="auto" w:val="clear"/>
        </w:rPr>
        <w:t xml:space="preserve">ПИ</w:t>
      </w:r>
      <w:r>
        <w:rPr>
          <w:rFonts w:ascii="Times New Roman" w:hAnsi="Times New Roman" w:cs="Times New Roman" w:eastAsia="Times New Roman"/>
          <w:color w:val="auto"/>
          <w:spacing w:val="-4"/>
          <w:position w:val="0"/>
          <w:sz w:val="32"/>
          <w:shd w:fill="auto" w:val="clear"/>
        </w:rPr>
        <w:t xml:space="preserve">22/2</w:t>
      </w:r>
    </w:p>
    <w:p>
      <w:pPr>
        <w:spacing w:before="73" w:after="0" w:line="24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Цели</w:t>
      </w:r>
      <w:r>
        <w:rPr>
          <w:rFonts w:ascii="Times New Roman" w:hAnsi="Times New Roman" w:cs="Times New Roman" w:eastAsia="Times New Roman"/>
          <w:b/>
          <w:color w:val="auto"/>
          <w:spacing w:val="-1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и</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задачи</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выполняемой</w:t>
      </w:r>
      <w:r>
        <w:rPr>
          <w:rFonts w:ascii="Times New Roman" w:hAnsi="Times New Roman" w:cs="Times New Roman" w:eastAsia="Times New Roman"/>
          <w:b/>
          <w:color w:val="auto"/>
          <w:spacing w:val="-1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лабораторной</w:t>
      </w:r>
      <w:r>
        <w:rPr>
          <w:rFonts w:ascii="Times New Roman" w:hAnsi="Times New Roman" w:cs="Times New Roman" w:eastAsia="Times New Roman"/>
          <w:b/>
          <w:color w:val="auto"/>
          <w:spacing w:val="-12"/>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работы</w:t>
      </w:r>
    </w:p>
    <w:p>
      <w:pPr>
        <w:spacing w:before="343"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Цель</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работы: </w:t>
      </w:r>
      <w:r>
        <w:rPr>
          <w:rFonts w:ascii="Times New Roman" w:hAnsi="Times New Roman" w:cs="Times New Roman" w:eastAsia="Times New Roman"/>
          <w:color w:val="auto"/>
          <w:spacing w:val="0"/>
          <w:position w:val="0"/>
          <w:sz w:val="28"/>
          <w:shd w:fill="auto" w:val="clear"/>
        </w:rPr>
        <w:t xml:space="preserve">Изучение и получение навыков создания диаграмм вариантов использования.</w:t>
      </w:r>
    </w:p>
    <w:p>
      <w:pPr>
        <w:spacing w:before="164" w:after="0" w:line="240"/>
        <w:ind w:right="0" w:left="14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Задачи</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работы:</w:t>
      </w:r>
    </w:p>
    <w:p>
      <w:pPr>
        <w:widowControl w:val="false"/>
        <w:numPr>
          <w:ilvl w:val="0"/>
          <w:numId w:val="1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Рассмотреть типы отношений между элементами диаграммы вариантов использования (ассоциация, включение, расширение, обобщение) и особенности их применения.</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Определить акторов проектируемой системы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Аналог Booking.com (сервис бронирования отелей)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их роли в рамках взаимодействия с системой.</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Выделить основные варианты использования системы на основе ранее сформулированных пользовательских историй.</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Построить диаграмму вариантов использования, отражающую функциональные возможности системы и взаимодействие акторов с вариантами использования.</w:t>
      </w:r>
    </w:p>
    <w:p>
      <w:pPr>
        <w:spacing w:before="0" w:after="0" w:line="240"/>
        <w:ind w:right="0" w:left="861" w:hanging="360"/>
        <w:jc w:val="left"/>
        <w:rPr>
          <w:rFonts w:ascii="Times New Roman" w:hAnsi="Times New Roman" w:cs="Times New Roman" w:eastAsia="Times New Roman"/>
          <w:color w:val="auto"/>
          <w:spacing w:val="0"/>
          <w:position w:val="0"/>
          <w:sz w:val="28"/>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8"/>
          <w:shd w:fill="auto" w:val="clear"/>
        </w:rPr>
      </w:pPr>
      <w:r>
        <w:rPr>
          <w:rFonts w:ascii="Courier New" w:hAnsi="Courier New" w:cs="Courier New" w:eastAsia="Courier New"/>
          <w:color w:val="000000"/>
          <w:spacing w:val="0"/>
          <w:position w:val="0"/>
          <w:sz w:val="28"/>
          <w:shd w:fill="auto" w:val="clear"/>
        </w:rPr>
        <w:t xml:space="preserve"> </w:t>
      </w:r>
    </w:p>
    <w:p>
      <w:pPr>
        <w:widowControl w:val="false"/>
        <w:spacing w:before="0" w:after="0" w:line="240"/>
        <w:ind w:right="0" w:left="0" w:firstLine="0"/>
        <w:jc w:val="left"/>
        <w:rPr>
          <w:rFonts w:ascii="Courier New" w:hAnsi="Courier New" w:cs="Courier New" w:eastAsia="Courier New"/>
          <w:color w:val="000000"/>
          <w:spacing w:val="0"/>
          <w:position w:val="0"/>
          <w:sz w:val="28"/>
          <w:shd w:fill="auto" w:val="clear"/>
        </w:rPr>
      </w:pPr>
      <w:r>
        <w:object w:dxaOrig="8310" w:dyaOrig="8670">
          <v:rect xmlns:o="urn:schemas-microsoft-com:office:office" xmlns:v="urn:schemas-microsoft-com:vml" id="rectole0000000000" style="width:415.500000pt;height:433.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widowControl w:val="false"/>
        <w:spacing w:before="0" w:after="0" w:line="240"/>
        <w:ind w:right="0" w:left="0" w:firstLine="0"/>
        <w:jc w:val="left"/>
        <w:rPr>
          <w:rFonts w:ascii="Courier New" w:hAnsi="Courier New" w:cs="Courier New" w:eastAsia="Courier New"/>
          <w:color w:val="000000"/>
          <w:spacing w:val="0"/>
          <w:position w:val="0"/>
          <w:sz w:val="28"/>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8"/>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r>
        <w:rPr>
          <w:rFonts w:ascii="Courier New" w:hAnsi="Courier New" w:cs="Courier New" w:eastAsia="Courier New"/>
          <w:color w:val="000000"/>
          <w:spacing w:val="0"/>
          <w:position w:val="0"/>
          <w:sz w:val="24"/>
          <w:shd w:fill="auto" w:val="clear"/>
        </w:rPr>
        <w:t xml:space="preserve"> </w:t>
      </w:r>
    </w:p>
    <w:p>
      <w:pPr>
        <w:widowControl w:val="false"/>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Ответы на контрольные вопросы </w:t>
      </w:r>
    </w:p>
    <w:p>
      <w:pPr>
        <w:numPr>
          <w:ilvl w:val="0"/>
          <w:numId w:val="24"/>
        </w:numPr>
        <w:spacing w:before="0" w:after="0" w:line="360"/>
        <w:ind w:right="0" w:left="500"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Из каких элементов состоит диаграмма вариантов использования (ВИ)?</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Диаграмма вариантов использования в UML состоит из следующих основных элементов:</w:t>
      </w:r>
    </w:p>
    <w:p>
      <w:pPr>
        <w:numPr>
          <w:ilvl w:val="0"/>
          <w:numId w:val="2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Акторы (Actors)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внешние по отношению к системе сущности, взаимодействующие с ней. Актором может быть пользователь, другая система или устройство. Акторы изображаются в виде схематической фигуры человека.</w:t>
      </w:r>
    </w:p>
    <w:p>
      <w:pPr>
        <w:numPr>
          <w:ilvl w:val="0"/>
          <w:numId w:val="2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Варианты использования (Use Cases)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функциональные возможности системы, представляющие собой завершённые сценарии взаимодействия актора с системой. Они отображаются в виде овала с названием соответствующего действия.</w:t>
      </w:r>
    </w:p>
    <w:p>
      <w:pPr>
        <w:numPr>
          <w:ilvl w:val="0"/>
          <w:numId w:val="2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Граница системы (System Boundary)</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прямоугольник, внутри которого располагаются варианты использования. Он обозначает пределы рассматриваемой системы.</w:t>
      </w:r>
    </w:p>
    <w:p>
      <w:pPr>
        <w:numPr>
          <w:ilvl w:val="0"/>
          <w:numId w:val="2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Связи (Relationships)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линии, отображающие взаимодействие между акторами и вариантами использования, а также отношения между самими вариантами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 основным типам отношений относятся:</w:t>
      </w:r>
    </w:p>
    <w:p>
      <w:pPr>
        <w:numPr>
          <w:ilvl w:val="0"/>
          <w:numId w:val="28"/>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ассоциация (связь актора с вариантом использования),</w:t>
      </w:r>
    </w:p>
    <w:p>
      <w:pPr>
        <w:numPr>
          <w:ilvl w:val="0"/>
          <w:numId w:val="28"/>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включение (include),</w:t>
      </w:r>
    </w:p>
    <w:p>
      <w:pPr>
        <w:numPr>
          <w:ilvl w:val="0"/>
          <w:numId w:val="28"/>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расширение (extend),</w:t>
      </w:r>
    </w:p>
    <w:p>
      <w:pPr>
        <w:numPr>
          <w:ilvl w:val="0"/>
          <w:numId w:val="28"/>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обобщение (generalization).</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диаграмма вариантов использования позволяет на концептуальном уровне отразить структуру взаимодействия пользователей с системой и её функциональные возможности.</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В чем отличие отношений ВИ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Включение</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и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Расширение</w:t>
      </w:r>
      <w:r>
        <w:rPr>
          <w:rFonts w:ascii="Times New Roman" w:hAnsi="Times New Roman" w:cs="Times New Roman" w:eastAsia="Times New Roman"/>
          <w:b/>
          <w:color w:val="auto"/>
          <w:spacing w:val="0"/>
          <w:position w:val="0"/>
          <w:sz w:val="28"/>
          <w:shd w:fill="auto" w:val="clear"/>
        </w:rPr>
        <w:t xml:space="preserve">»?</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Отношения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Включение</w:t>
      </w:r>
      <w:r>
        <w:rPr>
          <w:rFonts w:ascii="Times New Roman" w:hAnsi="Times New Roman" w:cs="Times New Roman" w:eastAsia="Times New Roman"/>
          <w:color w:val="auto"/>
          <w:spacing w:val="0"/>
          <w:position w:val="0"/>
          <w:sz w:val="28"/>
          <w:shd w:fill="auto" w:val="clear"/>
        </w:rPr>
        <w:t xml:space="preserve">» (include) </w:t>
      </w:r>
      <w:r>
        <w:rPr>
          <w:rFonts w:ascii="Times New Roman" w:hAnsi="Times New Roman" w:cs="Times New Roman" w:eastAsia="Times New Roman"/>
          <w:color w:val="auto"/>
          <w:spacing w:val="0"/>
          <w:position w:val="0"/>
          <w:sz w:val="28"/>
          <w:shd w:fill="auto" w:val="clear"/>
        </w:rPr>
        <w:t xml:space="preserve">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Расширение</w:t>
      </w:r>
      <w:r>
        <w:rPr>
          <w:rFonts w:ascii="Times New Roman" w:hAnsi="Times New Roman" w:cs="Times New Roman" w:eastAsia="Times New Roman"/>
          <w:color w:val="auto"/>
          <w:spacing w:val="0"/>
          <w:position w:val="0"/>
          <w:sz w:val="28"/>
          <w:shd w:fill="auto" w:val="clear"/>
        </w:rPr>
        <w:t xml:space="preserve">» (extend) </w:t>
      </w:r>
      <w:r>
        <w:rPr>
          <w:rFonts w:ascii="Times New Roman" w:hAnsi="Times New Roman" w:cs="Times New Roman" w:eastAsia="Times New Roman"/>
          <w:color w:val="auto"/>
          <w:spacing w:val="0"/>
          <w:position w:val="0"/>
          <w:sz w:val="28"/>
          <w:shd w:fill="auto" w:val="clear"/>
        </w:rPr>
        <w:t xml:space="preserve">используются для описания взаимосвязей между вариантами использования, однако они имеют различную семантику.</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Отношение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Включение</w:t>
      </w:r>
      <w:r>
        <w:rPr>
          <w:rFonts w:ascii="Times New Roman" w:hAnsi="Times New Roman" w:cs="Times New Roman" w:eastAsia="Times New Roman"/>
          <w:b/>
          <w:color w:val="auto"/>
          <w:spacing w:val="0"/>
          <w:position w:val="0"/>
          <w:sz w:val="28"/>
          <w:shd w:fill="auto" w:val="clear"/>
        </w:rPr>
        <w:t xml:space="preserve">» (include)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означает, что выполнение одного варианта использования обязательно включает выполнение другого варианта использования как составной части. Иными словами, включаемый вариант использования всегда выполняется при выполнении базового. Такое отношение применяется для выделения общего поведения, которое используется в нескольких сценариях. На диаграмме оно обозначается пунктирной стрелкой с пометкой </w:t>
      </w:r>
      <w:r>
        <w:rPr>
          <w:rFonts w:ascii="Times New Roman" w:hAnsi="Times New Roman" w:cs="Times New Roman" w:eastAsia="Times New Roman"/>
          <w:color w:val="auto"/>
          <w:spacing w:val="0"/>
          <w:position w:val="0"/>
          <w:sz w:val="28"/>
          <w:shd w:fill="auto" w:val="clear"/>
        </w:rPr>
        <w:t xml:space="preserve">«&lt;&lt;include&gt;&gt;», </w:t>
      </w:r>
      <w:r>
        <w:rPr>
          <w:rFonts w:ascii="Times New Roman" w:hAnsi="Times New Roman" w:cs="Times New Roman" w:eastAsia="Times New Roman"/>
          <w:color w:val="auto"/>
          <w:spacing w:val="0"/>
          <w:position w:val="0"/>
          <w:sz w:val="28"/>
          <w:shd w:fill="auto" w:val="clear"/>
        </w:rPr>
        <w:t xml:space="preserve">направленной к включаемому варианту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Отношение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Расширение</w:t>
      </w:r>
      <w:r>
        <w:rPr>
          <w:rFonts w:ascii="Times New Roman" w:hAnsi="Times New Roman" w:cs="Times New Roman" w:eastAsia="Times New Roman"/>
          <w:b/>
          <w:color w:val="auto"/>
          <w:spacing w:val="0"/>
          <w:position w:val="0"/>
          <w:sz w:val="28"/>
          <w:shd w:fill="auto" w:val="clear"/>
        </w:rPr>
        <w:t xml:space="preserve">» (extend)</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указывает на возможность дополнительного поведения, которое может быть выполнено при определённых условиях. Расширяющий вариант использования не является обязательным и выполняется только при выполнении заданного условия. На диаграмме это отношение обозначается пунктирной стрелкой с пометкой </w:t>
      </w:r>
      <w:r>
        <w:rPr>
          <w:rFonts w:ascii="Times New Roman" w:hAnsi="Times New Roman" w:cs="Times New Roman" w:eastAsia="Times New Roman"/>
          <w:color w:val="auto"/>
          <w:spacing w:val="0"/>
          <w:position w:val="0"/>
          <w:sz w:val="28"/>
          <w:shd w:fill="auto" w:val="clear"/>
        </w:rPr>
        <w:t xml:space="preserve">«&lt;&lt;extend&gt;&gt;», </w:t>
      </w:r>
      <w:r>
        <w:rPr>
          <w:rFonts w:ascii="Times New Roman" w:hAnsi="Times New Roman" w:cs="Times New Roman" w:eastAsia="Times New Roman"/>
          <w:color w:val="auto"/>
          <w:spacing w:val="0"/>
          <w:position w:val="0"/>
          <w:sz w:val="28"/>
          <w:shd w:fill="auto" w:val="clear"/>
        </w:rPr>
        <w:t xml:space="preserve">направленной к базовому варианту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основное различие заключается в обязательности выполнения:</w:t>
      </w:r>
    </w:p>
    <w:p>
      <w:pPr>
        <w:numPr>
          <w:ilvl w:val="0"/>
          <w:numId w:val="30"/>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«include»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обязательное включение поведения;</w:t>
      </w:r>
    </w:p>
    <w:p>
      <w:pPr>
        <w:numPr>
          <w:ilvl w:val="0"/>
          <w:numId w:val="30"/>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«extend»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условное, дополнительное расширение поведения.</w:t>
      </w:r>
    </w:p>
    <w:p>
      <w:pPr>
        <w:spacing w:before="0" w:after="0" w:line="36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Почему для создания диаграмм ВИ желательно использовать специализированные редакторы?</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Использование специализированных UML-редакторов при создании диаграмм вариантов использования является предпочтительным по нескольким причинам.</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Во-первых, такие инструменты обеспечивают корректное соблюдение нотации UML, что позволяет избежать ошибок в обозначениях элементов и связей.</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Во-вторых, специализированные редакторы автоматизируют процесс построения диаграмм, упрощают создание и редактирование связей между элементами, а также позволяют быстро вносить изменения при необходимости.</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В-третьих, подобные инструменты поддерживают экспорт диаграмм в различные форматы (PNG, PDF, SVG и другие), что облегчает их включение в отчёты и документацию.</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Кроме того, многие UML-редакторы поддерживают создание нескольких типов диаграмм в рамках одного проекта, что обеспечивает целостность моделирования системы.</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Таким образом, применение специализированных средств разработки UML-диаграмм повышает точность, наглядность и качество представления функциональных требований системы.</w:t>
      </w:r>
    </w:p>
    <w:p>
      <w:pPr>
        <w:spacing w:before="0" w:after="0" w:line="360"/>
        <w:ind w:right="0" w:left="14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Вывод</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 ходе выполнения лабораторной работы </w:t>
      </w:r>
      <w:r>
        <w:rPr>
          <w:rFonts w:ascii="Segoe UI Symbol" w:hAnsi="Segoe UI Symbol" w:cs="Segoe UI Symbol" w:eastAsia="Segoe UI Symbol"/>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2 </w:t>
      </w:r>
      <w:r>
        <w:rPr>
          <w:rFonts w:ascii="Times New Roman" w:hAnsi="Times New Roman" w:cs="Times New Roman" w:eastAsia="Times New Roman"/>
          <w:color w:val="auto"/>
          <w:spacing w:val="0"/>
          <w:position w:val="0"/>
          <w:sz w:val="32"/>
          <w:shd w:fill="auto" w:val="clear"/>
        </w:rPr>
        <w:t xml:space="preserve">были изучены основные принципы построения диаграмм вариантов использования в нотации UML, а также рассмотрены элементы и типы отношений между ними.</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На основе ранее разработанных вариантов использования для системы </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Аналог Booking.com (сервис бронирования отелей)</w:t>
      </w:r>
      <w:r>
        <w:rPr>
          <w:rFonts w:ascii="Times New Roman" w:hAnsi="Times New Roman" w:cs="Times New Roman" w:eastAsia="Times New Roman"/>
          <w:color w:val="auto"/>
          <w:spacing w:val="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была построена диаграмма вариантов использования, отражающая взаимодействие акторов (Гость, Зарегистрированный пользователь, Владелец отеля, Администратор, Платёжная система) с функциональными возможностями системы (поиск, бронирование, управление бронированиями, отзывы, управление отелем, модерация и др.). При построении были применены отношения обобщения, включения и расширения в соответствии с их семантикой.</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 результате работы были закреплены навыки анализа требований и их визуального представления с использованием UML-диаграмм. Поставленные цели и задачи лабораторной работы выполнены в полном объёме.</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3">
    <w:abstractNumId w:val="42"/>
  </w:num>
  <w:num w:numId="15">
    <w:abstractNumId w:val="36"/>
  </w:num>
  <w:num w:numId="17">
    <w:abstractNumId w:val="30"/>
  </w:num>
  <w:num w:numId="19">
    <w:abstractNumId w:val="24"/>
  </w:num>
  <w:num w:numId="24">
    <w:abstractNumId w:val="18"/>
  </w:num>
  <w:num w:numId="26">
    <w:abstractNumId w:val="12"/>
  </w:num>
  <w:num w:numId="28">
    <w:abstractNumId w:val="6"/>
  </w:num>
  <w:num w:numId="3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