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РАСПОРЯЖЕНИЕ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проведении внутреннего аудита процесса: {{process_name}} [1]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В целях оценки результативности процессов и управления связанными с ними рисками,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ОБЯЗЫВАЮ: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Провести {{audit_period}} внутренний аудит процесса: {{process_name}} [2].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В ходе аудита оценить: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соответствие установленным требованиям и внутренним документам;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результативность контрольных процедур и управление рисками;</w:t>
      </w:r>
    </w:p>
    <w:p>
      <w:pPr>
        <w:spacing w:before="20" w:after="20"/>
        <w:ind w:left="284" w:hanging="170"/>
      </w:pPr>
      <w:r>
        <w:rPr>
          <w:rFonts w:ascii="Times New Roman" w:hAnsi="Times New Roman" w:cs="Times New Roman"/>
          <w:sz w:val="28"/>
          <w:szCs w:val="28"/>
        </w:rPr>
        <w:t xml:space="preserve">• полноту и достоверность документирования операций.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 Утвердить состав аудиторской группы: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Роль</w:t>
            </w:r>
          </w:p>
        </w:tc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Должность, подразделение, инициалы и фамилия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аудиторской группы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{{audit_lead}} [3]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Аудиторы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{{auditors_team}} [4]</w:t>
            </w:r>
          </w:p>
        </w:tc>
      </w:tr>
    </w:tbl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4. Аудиторской группе обеспечить доступ к документам, информационным системам и работникам в пределах программы аудита.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5. Контроль за исполнением настоящего распоряжения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Процесс. Укажите точное наименование проверяемого процесса так же, как в заголовке и пункте 1.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Период. Укажите календарные даты начала и окончания аудита.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Руководитель группы. Укажите должность, инициалы и фамилию.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4. Аудиторы. Аудиторы не должны являться работниками проверяемого подразделения — это обеспечивает независимость оценки.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варианты, линии и номера примечаний в подписываемом распоряжении.</w:t>
      </w:r>
    </w:p>
    <w:sectPr>
      <w:pgSz w:w="11906" w:h="16838"/>
      <w:pgMar w:top="1134" w:right="850" w:bottom="1134" w:left="1701" w:header="708" w:footer="708" w:gutter="0"/>
    </w:sectPr>
  </w:body>
</w:document>
</file>