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SM4异或移位模板恢复实验结果分析</w:t>
      </w:r>
    </w:p>
    <w:p>
      <w:pPr>
        <w:pStyle w:val="Heading1"/>
      </w:pPr>
      <w:r>
        <w:t>一、实验条件与记录构成</w:t>
      </w:r>
    </w:p>
    <w:p>
      <w:r>
        <w:t>本次实验围绕SM4异或移位响应曲线模板攻击，对第0轮轮密钥rk0的四个字节进行恢复。共记录五组结果，模板文件名分别标注r14、r15、r17、r18、r19，但实际rounds字段依次为15、15、17、18、19，即前两组文件名中的轮数标注与实际执行轮数不一致，分析时以rounds字段为准。所有记录均采用l1距离、weighted_iqr=否、device=cuda、dtype=float32，攻击查询次数均为20480，评分定义为观测256维距离曲线与模板T(v xor g)的匹配误差，分数越小表示候选越接近真实rk0字节。需要说明的是，记录1与记录2的rounds、epsilon、template_random_keys、template_contexts、rk0预测值、各字节分数与排名、Top-k统计完全相同，仅模板文件名与耗时不同，因此二者不能视为两次独立实验或两种独立配置，更可能是同一配置的重复记录。</w:t>
      </w:r>
    </w:p>
    <w:p>
      <w:pPr>
        <w:pStyle w:val="Heading1"/>
      </w:pPr>
      <w:r>
        <w:t>二、成功与失败结果</w:t>
      </w:r>
    </w:p>
    <w:p>
      <w:r>
        <w:t>15轮的两组记录均完整恢复rk0，预测值为F12186F9，字节top1为4/4，top-1/3/5/10正确率均为100%，平均真实排名1.00，耗时分别为3.65 s和5.51 s。17轮记录仅B2字节排名第1，B0、B1、B3的真实排名分别为40、6、54，字节top1为1/4，完整rk0未恢复，top-1/3/5正确率25%，top-10正确率50%，平均真实排名25.25，中位真实排名23.00。18轮记录四个字节的真实排名分别为204、167、56、251，top-1/3/5/10正确率均为0%，平均真实排名169.50，中位真实排名185.50。19轮记录四个字节的真实排名分别为203、196、69、39，top-1/3/5/10正确率均为0%，平均真实排名126.75，中位真实排名132.50。可见，15轮条件下模板匹配能够完整恢复rk0；17轮仅保留部分排序信息，完整恢复失败；18轮和19轮全部字节均未进入top20，平均排名接近256个候选的随机水平。</w:t>
      </w:r>
    </w:p>
    <w:p>
      <w:pPr>
        <w:pStyle w:val="Heading1"/>
      </w:pPr>
      <w:r>
        <w:t>三、限制与解释边界</w:t>
      </w:r>
    </w:p>
    <w:p>
      <w:r>
        <w:t>上述结果首先表明，模板文件名中的轮数不能直接作为实验轮数依据，r14与r15两组记录实际均为15轮，且统计量完全一致，不能据此声称14轮和15轮分别成功。其次，本次每组仅涉及一个目标密钥，成功记录至多说明该目标在该配置下可恢复，不能证明方法在多个目标密钥上稳定。再次，17至19轮失败时，epsilon、template_random_keys、template_contexts等参数随轮数共同变化，例如18轮epsilon为0.005、template_random_keys为100、template_contexts为5，与15轮的5e-08、10、10不同，因此不能将性能下降归因于轮数增加这一单一因素。此外，记录1与记录2耗时不同但结果相同，耗时差异的来源尚不能确认。总体而言，本次可核验结果支持“15轮下该单目标可完整恢复、17轮起完整恢复失败”的有限结论，尚不足以支撑方法稳定性或轮数边界的普遍性断言。</w:t>
      </w:r>
    </w:p>
    <w:p>
      <w:pPr>
        <w:pStyle w:val="Heading1"/>
      </w:pPr>
      <w:r>
        <w:t>生成与来源说明</w:t>
      </w:r>
    </w:p>
    <w:p>
      <w:r>
        <w:t>目标字数：1200；正文实际：1288（按非空白字符含标点统计）。</w:t>
      </w:r>
    </w:p>
    <w:p>
      <w:r>
        <w:t>下列参考资料仅用于借鉴写作结构与表达；实验事实来源于本次输入与附件。生成内容仍需作者核验。</w:t>
      </w:r>
    </w:p>
    <w:p>
      <w:r>
        <w:t>写作参考：面向 SM4 神经网络实现的实数输入攻击_初稿（面向 SM4 神经网络实现的实数输入攻击_初稿.docx）</w:t>
      </w:r>
    </w:p>
    <w:p>
      <w:r>
        <w:t>实验附件：模板恢复攻击.txt</w:t>
      </w:r>
    </w:p>
    <w:p>
      <w:pPr>
        <w:pStyle w:val="Heading1"/>
      </w:pPr>
      <w:r>
        <w:t>待核实与限制</w:t>
      </w:r>
    </w:p>
    <w:p>
      <w:r>
        <w:t>参考资料仅提取文字与表格，内嵌图片不用于写作分析。</w:t>
      </w:r>
    </w:p>
    <w:p>
      <w:r>
        <w:t>DOCX 含旧式嵌入对象（可能是 MathType 公式）；对象中的公式和符号未转为文字，图片数可能包含公式预览，参考写法仅依据已提取文字。</w:t>
      </w:r>
    </w:p>
    <w:p>
      <w:r>
        <w:t>未给出实验环境（CPU/GPU型号、内存、操作系统版本）</w:t>
      </w:r>
    </w:p>
    <w:p>
      <w:r>
        <w:t>未给出统计显著性检验或置信区间</w:t>
      </w:r>
    </w:p>
    <w:p>
      <w:r>
        <w:t>每条记录仅针对单一目标密钥、单次运行，未提供独立重复实验证据</w:t>
      </w:r>
    </w:p>
    <w:p>
      <w:r>
        <w:t>未给出完整128位主密钥恢复结果或步骤，仅恢复 rk0 的4个字节</w:t>
      </w:r>
    </w:p>
    <w:p>
      <w:r>
        <w:t>未说明模板训练过程、训练数据规模与训练耗时</w:t>
      </w:r>
    </w:p>
    <w:p>
      <w:r>
        <w:t>未给出攻击查询次数20480的构成细节（如明文/密文对数量）</w:t>
      </w:r>
    </w:p>
    <w:p>
      <w:r>
        <w:t>未说明 r14 与 r15 模板文件名不同但结果相同的原因</w:t>
      </w:r>
    </w:p>
    <w:p>
      <w:r>
        <w:t>记录1与记录2的模板文件名分别为 r14 和 r15，但 rounds 均为15、epsilon 均为5e-08、template_random_keys 均为10、template_contexts 均为10，且所有字节分数与排名完全相同，文件名与 rounds 参数存在不一致</w:t>
      </w:r>
    </w:p>
    <w:p>
      <w:r>
        <w:t>记录1与记录2除耗时外结果完全一致，无法据此判断是否为独立实验</w:t>
      </w:r>
    </w:p>
    <w:p>
      <w:r>
        <w:t>每组实验对应的独立目标密钥数量及是否使用同一目标密钥，尚未报告</w:t>
      </w:r>
    </w:p>
    <w:p>
      <w:r>
        <w:t>记录1与记录2是否为同一配置的重复运行，以及耗时差异的具体来源，尚不能确认</w:t>
      </w:r>
    </w:p>
    <w:p>
      <w:r>
        <w:t>模板文件名r14/r15与实际rounds=15不一致的原因尚未说明</w:t>
      </w:r>
    </w:p>
    <w:p>
      <w:r>
        <w:t>17至19轮失败中轮数、epsilon、模板密钥数和背景样本数共同变化，各因素的单独影响尚未通过控制变量实验区分</w:t>
      </w:r>
    </w:p>
    <w:p>
      <w:r>
        <w:t>参考模板的构建细节与跨密钥对齐质量尚未在本次记录中报告</w:t>
      </w:r>
    </w:p>
    <w:p>
      <w:r>
        <w:t>多次重复运行下的恢复率、排名分布及置信区间尚未提供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