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self study</w:t>
      </w:r>
    </w:p>
    <w:p>
      <w:pPr>
        <w:pStyle w:val="Normal"/>
        <w:rPr/>
      </w:pP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 </w:t>
      </w:r>
      <w:r>
        <w:rPr>
          <w:rFonts w:eastAsia="Arial Unicode MS" w:cs="Arial Unicode MS" w:ascii="Arial Unicode MS" w:hAnsi="Arial Unicode MS"/>
        </w:rPr>
        <w:t>now</w:t>
      </w:r>
    </w:p>
    <w:p>
      <w:pPr>
        <w:pStyle w:val="Normal"/>
        <w:rPr>
          <w:rFonts w:ascii="Arial Unicode MS" w:hAnsi="Arial Unicode MS" w:eastAsia="Arial Unicode MS" w:cs="Arial Unicode MS"/>
          <w:b w:val="false"/>
          <w:b w:val="false"/>
          <w:i w:val="false"/>
          <w:i w:val="false"/>
          <w:caps w:val="false"/>
          <w:smallCaps w:val="false"/>
          <w:spacing w:val="0"/>
        </w:rPr>
      </w:pPr>
      <w:r>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Dutch police Open Data API sdk</w:t>
      </w:r>
      <w:r>
        <w:rPr>
          <w:rFonts w:eastAsia="Arial Unicode MS" w:cs="Arial Unicode MS" w:ascii="Arial Unicode MS" w:hAnsi="Arial Unicode MS"/>
        </w:rPr>
        <w:t>.</w:t>
      </w:r>
      <w:r>
        <w:rPr/>
        <w:br/>
      </w:r>
      <w:hyperlink r:id="rId4">
        <w:r>
          <w:rPr>
            <w:rStyle w:val="InternetLink"/>
          </w:rPr>
          <w:t>https://github.com/noud/politie-open-data-api/blob/master/README.md</w:t>
        </w:r>
      </w:hyperlink>
    </w:p>
    <w:p>
      <w:pPr>
        <w:pStyle w:val="Normal"/>
        <w:rPr/>
      </w:pPr>
      <w:r>
        <w:rPr/>
      </w:r>
    </w:p>
    <w:p>
      <w:pPr>
        <w:pStyle w:val="Normal"/>
        <w:rPr/>
      </w:pPr>
      <w:r>
        <w:rPr>
          <w:rFonts w:eastAsia="Arial Unicode MS" w:cs="Arial Unicode MS" w:ascii="Arial Unicode MS" w:hAnsi="Arial Unicode MS"/>
        </w:rPr>
        <w:t xml:space="preserve">skills: Mobile React.js </w:t>
      </w:r>
      <w:r>
        <w:rPr>
          <w:rFonts w:eastAsia="Arial Unicode MS" w:cs="Arial Unicode MS" w:ascii="Arial Unicode MS" w:hAnsi="Arial Unicode MS"/>
        </w:rPr>
        <w:t>OpenAPI</w:t>
      </w:r>
      <w:r>
        <w:rPr>
          <w:rFonts w:eastAsia="Arial Unicode MS" w:cs="Arial Unicode MS" w:ascii="Arial Unicode MS" w:hAnsi="Arial Unicode MS"/>
        </w:rPr>
        <w:t xml:space="preserve"> Laravel PHP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5">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easyadminbundle,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January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 December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s://github.com/noud/politie-open-data-api/blob/master/README.md" TargetMode="External"/><Relationship Id="rId4" Type="http://schemas.openxmlformats.org/officeDocument/2006/relationships/hyperlink" Target="" TargetMode="External"/><Relationship Id="rId5" Type="http://schemas.openxmlformats.org/officeDocument/2006/relationships/hyperlink" Target="https://github.com/noud?tab=repositories&amp;q=grip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LibreOffice/7.1.7.2$Linux_X86_64 LibreOffice_project/10$Build-2</Application>
  <AppVersion>15.0000</AppVersion>
  <Pages>10</Pages>
  <Words>1958</Words>
  <Characters>11667</Characters>
  <CharactersWithSpaces>13547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2022-01-03T11:54:31Z</dcterms:modified>
  <cp:revision>7</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